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97" w:rsidRDefault="006D2A97">
      <w:pPr>
        <w:jc w:val="both"/>
        <w:rPr>
          <w:rFonts w:eastAsia="Calibri"/>
          <w:sz w:val="22"/>
          <w:szCs w:val="22"/>
          <w:lang w:eastAsia="en-US"/>
        </w:rPr>
      </w:pPr>
      <w:bookmarkStart w:id="0" w:name="_GoBack"/>
      <w:bookmarkEnd w:id="0"/>
    </w:p>
    <w:p w:rsidR="006D2A97" w:rsidRDefault="006B4A3A">
      <w:pPr>
        <w:pStyle w:val="xmsonormal"/>
        <w:jc w:val="center"/>
        <w:rPr>
          <w:rFonts w:ascii="Cambria" w:hAnsi="Cambria"/>
          <w:b/>
          <w:bCs/>
          <w:color w:val="000000"/>
          <w:sz w:val="24"/>
          <w:szCs w:val="24"/>
          <w:lang w:val="en-US"/>
        </w:rPr>
      </w:pPr>
      <w:r>
        <w:rPr>
          <w:rFonts w:ascii="Cambria" w:hAnsi="Cambria"/>
          <w:b/>
          <w:bCs/>
          <w:color w:val="000000"/>
          <w:sz w:val="24"/>
          <w:szCs w:val="24"/>
          <w:lang w:val="en-US"/>
        </w:rPr>
        <w:t>The 11</w:t>
      </w:r>
      <w:r>
        <w:rPr>
          <w:rFonts w:ascii="Cambria" w:hAnsi="Cambria"/>
          <w:b/>
          <w:bCs/>
          <w:color w:val="000000"/>
          <w:sz w:val="24"/>
          <w:szCs w:val="24"/>
          <w:vertAlign w:val="superscript"/>
          <w:lang w:val="en-US"/>
        </w:rPr>
        <w:t>th</w:t>
      </w:r>
      <w:r>
        <w:rPr>
          <w:rFonts w:ascii="Cambria" w:hAnsi="Cambria"/>
          <w:b/>
          <w:bCs/>
          <w:color w:val="000000"/>
          <w:sz w:val="24"/>
          <w:szCs w:val="24"/>
          <w:lang w:val="en-US"/>
        </w:rPr>
        <w:t xml:space="preserve"> International Conference in Critical Management Studies</w:t>
      </w:r>
    </w:p>
    <w:p w:rsidR="00C45E5D" w:rsidRDefault="004629BB" w:rsidP="004629BB">
      <w:pPr>
        <w:pStyle w:val="xmsonormal"/>
        <w:jc w:val="center"/>
      </w:pPr>
      <w:r>
        <w:rPr>
          <w:rFonts w:ascii="Cambria" w:hAnsi="Cambria"/>
          <w:b/>
          <w:bCs/>
          <w:color w:val="000000"/>
          <w:sz w:val="24"/>
          <w:szCs w:val="24"/>
          <w:lang w:val="en-US"/>
        </w:rPr>
        <w:t>Workshop Stream on:</w:t>
      </w:r>
    </w:p>
    <w:p w:rsidR="006D2A97" w:rsidRDefault="006D2A97">
      <w:pPr>
        <w:pStyle w:val="xmsonormal"/>
        <w:jc w:val="center"/>
        <w:rPr>
          <w:rFonts w:ascii="Cambria" w:hAnsi="Cambria"/>
          <w:b/>
          <w:bCs/>
          <w:color w:val="000000"/>
          <w:sz w:val="24"/>
          <w:szCs w:val="24"/>
          <w:lang w:val="en-US"/>
        </w:rPr>
      </w:pPr>
    </w:p>
    <w:p w:rsidR="006D2A97" w:rsidRDefault="006B4A3A">
      <w:pPr>
        <w:pStyle w:val="xmsonormal"/>
        <w:jc w:val="center"/>
      </w:pPr>
      <w:r>
        <w:rPr>
          <w:rFonts w:ascii="Cambria" w:hAnsi="Cambria"/>
          <w:b/>
          <w:bCs/>
          <w:color w:val="000000"/>
          <w:sz w:val="24"/>
          <w:szCs w:val="24"/>
          <w:lang w:val="en-US"/>
        </w:rPr>
        <w:t>C</w:t>
      </w:r>
      <w:r w:rsidR="009B0A11">
        <w:rPr>
          <w:rFonts w:ascii="Cambria" w:hAnsi="Cambria"/>
          <w:b/>
          <w:bCs/>
          <w:color w:val="000000"/>
          <w:sz w:val="24"/>
          <w:szCs w:val="24"/>
          <w:lang w:val="en-US"/>
        </w:rPr>
        <w:t>ritical Perspectives on Transparency, Accountability</w:t>
      </w:r>
      <w:r w:rsidR="00D60C67">
        <w:rPr>
          <w:rFonts w:ascii="Cambria" w:hAnsi="Cambria"/>
          <w:b/>
          <w:bCs/>
          <w:color w:val="000000"/>
          <w:sz w:val="24"/>
          <w:szCs w:val="24"/>
          <w:lang w:val="en-US"/>
        </w:rPr>
        <w:t>, Governance</w:t>
      </w:r>
      <w:r w:rsidR="009B0A11">
        <w:rPr>
          <w:rFonts w:ascii="Cambria" w:hAnsi="Cambria"/>
          <w:b/>
          <w:bCs/>
          <w:color w:val="000000"/>
          <w:sz w:val="24"/>
          <w:szCs w:val="24"/>
          <w:lang w:val="en-US"/>
        </w:rPr>
        <w:t xml:space="preserve"> and Corruption</w:t>
      </w:r>
      <w:r>
        <w:rPr>
          <w:rFonts w:ascii="Cambria" w:hAnsi="Cambria"/>
          <w:b/>
          <w:bCs/>
          <w:color w:val="000000"/>
          <w:sz w:val="24"/>
          <w:szCs w:val="24"/>
          <w:lang w:val="en-US"/>
        </w:rPr>
        <w:t xml:space="preserve"> </w:t>
      </w:r>
      <w:r w:rsidR="002C2DFA">
        <w:rPr>
          <w:rFonts w:ascii="Cambria" w:hAnsi="Cambria"/>
          <w:b/>
          <w:bCs/>
          <w:color w:val="000000"/>
          <w:sz w:val="24"/>
          <w:szCs w:val="24"/>
          <w:lang w:val="en-US"/>
        </w:rPr>
        <w:t>Control</w:t>
      </w:r>
    </w:p>
    <w:p w:rsidR="006D2A97" w:rsidRDefault="006D2A97">
      <w:pPr>
        <w:pStyle w:val="xmsonormal"/>
        <w:jc w:val="center"/>
      </w:pPr>
    </w:p>
    <w:p w:rsidR="006D2A97" w:rsidRDefault="006D2A97">
      <w:pPr>
        <w:jc w:val="both"/>
        <w:rPr>
          <w:rFonts w:eastAsia="Calibri"/>
          <w:sz w:val="22"/>
          <w:szCs w:val="22"/>
          <w:lang w:eastAsia="en-US"/>
        </w:rPr>
      </w:pPr>
    </w:p>
    <w:p w:rsidR="006D2A97" w:rsidRDefault="006B4A3A">
      <w:pPr>
        <w:jc w:val="both"/>
        <w:rPr>
          <w:rFonts w:eastAsia="Calibri"/>
          <w:sz w:val="22"/>
          <w:szCs w:val="22"/>
          <w:lang w:eastAsia="en-US"/>
        </w:rPr>
      </w:pPr>
      <w:r>
        <w:rPr>
          <w:rFonts w:eastAsia="Calibri"/>
          <w:sz w:val="22"/>
          <w:szCs w:val="22"/>
          <w:lang w:eastAsia="en-US"/>
        </w:rPr>
        <w:t xml:space="preserve">In the quest to fight systematic corruption, governments in both developed and developing countries have over the years, undertaken a number of financial management reforms that focus on enhancing financial controls and reporting, and promoting transparency, accountability and governance across all sectors. Whilst the negative impact of the mismanagement of financial resources and corruption within some organisations (including public and third sector organisations) is evident, what works in addressing such issues is weak. Tackling these issues is a priority for governments in both developed and developing countries. However, establishing what works in different contexts and understanding the interactions and interdependencies between different policy interventions is relatively under researched and poorly understood. Consequently, research into the design and implementation of policies that will have the most impact is needed.  </w:t>
      </w:r>
    </w:p>
    <w:p w:rsidR="006D2A97" w:rsidRDefault="006D2A97">
      <w:pPr>
        <w:jc w:val="both"/>
        <w:rPr>
          <w:rFonts w:eastAsia="Calibri"/>
          <w:sz w:val="22"/>
          <w:szCs w:val="22"/>
          <w:lang w:eastAsia="en-US"/>
        </w:rPr>
      </w:pPr>
    </w:p>
    <w:p w:rsidR="006D2A97" w:rsidRDefault="006B4A3A">
      <w:pPr>
        <w:jc w:val="both"/>
      </w:pPr>
      <w:r>
        <w:rPr>
          <w:rFonts w:eastAsia="Calibri"/>
          <w:sz w:val="22"/>
          <w:szCs w:val="22"/>
          <w:lang w:eastAsia="en-US"/>
        </w:rPr>
        <w:t xml:space="preserve">Dedicated to the advancement of management, accounting and governance knowledge, this </w:t>
      </w:r>
      <w:r w:rsidR="00565745">
        <w:rPr>
          <w:rFonts w:eastAsia="Calibri"/>
          <w:sz w:val="22"/>
          <w:szCs w:val="22"/>
          <w:lang w:eastAsia="en-US"/>
        </w:rPr>
        <w:t>stream</w:t>
      </w:r>
      <w:r>
        <w:rPr>
          <w:rFonts w:eastAsia="Calibri"/>
          <w:sz w:val="22"/>
          <w:szCs w:val="22"/>
          <w:lang w:eastAsia="en-US"/>
        </w:rPr>
        <w:t xml:space="preserve"> </w:t>
      </w:r>
      <w:r>
        <w:rPr>
          <w:sz w:val="22"/>
          <w:szCs w:val="22"/>
        </w:rPr>
        <w:t>in line with the overall theme of the Critical Management Studies Precarious Presents and Open Futures conference</w:t>
      </w:r>
      <w:r>
        <w:rPr>
          <w:rFonts w:eastAsia="Calibri"/>
          <w:sz w:val="22"/>
          <w:szCs w:val="22"/>
          <w:lang w:eastAsia="en-US"/>
        </w:rPr>
        <w:t xml:space="preserve"> is interested in the interaction between management, accounting control and governance in private, public or third sector organisations and their socio-economic and political environments. </w:t>
      </w:r>
      <w:r>
        <w:rPr>
          <w:sz w:val="22"/>
          <w:szCs w:val="22"/>
        </w:rPr>
        <w:t xml:space="preserve">This workshop invites </w:t>
      </w:r>
      <w:r>
        <w:rPr>
          <w:rFonts w:eastAsia="Calibri"/>
          <w:sz w:val="22"/>
          <w:szCs w:val="22"/>
          <w:lang w:eastAsia="en-US"/>
        </w:rPr>
        <w:t xml:space="preserve">research projects that investigates </w:t>
      </w:r>
      <w:r>
        <w:rPr>
          <w:sz w:val="22"/>
          <w:szCs w:val="22"/>
        </w:rPr>
        <w:t xml:space="preserve">what it means for societies and organisations to be ‘open, transparent and accountable’ in the 21st century. </w:t>
      </w:r>
      <w:r>
        <w:rPr>
          <w:rFonts w:eastAsia="Calibri"/>
          <w:sz w:val="22"/>
          <w:szCs w:val="22"/>
          <w:lang w:eastAsia="en-US"/>
        </w:rPr>
        <w:t xml:space="preserve"> </w:t>
      </w:r>
      <w:r>
        <w:rPr>
          <w:sz w:val="22"/>
          <w:szCs w:val="22"/>
        </w:rPr>
        <w:t>It further seeks to investigate and debate what currently constitutes radical political, economic, historical and ethical openness, and how this openness and transparency is under attack from renewed discourses of individualized privilege and closure</w:t>
      </w:r>
      <w:r>
        <w:rPr>
          <w:rFonts w:eastAsia="Calibri"/>
          <w:sz w:val="22"/>
          <w:szCs w:val="22"/>
          <w:lang w:eastAsia="en-US"/>
        </w:rPr>
        <w:t xml:space="preserve"> and encourages critical analysis of policy and practice in these areas.</w:t>
      </w:r>
    </w:p>
    <w:p w:rsidR="006D2A97" w:rsidRDefault="006D2A97">
      <w:pPr>
        <w:jc w:val="both"/>
        <w:rPr>
          <w:sz w:val="22"/>
          <w:szCs w:val="22"/>
        </w:rPr>
      </w:pPr>
    </w:p>
    <w:p w:rsidR="006D2A97" w:rsidRDefault="006B4A3A">
      <w:pPr>
        <w:jc w:val="both"/>
        <w:rPr>
          <w:rFonts w:eastAsia="Calibri"/>
          <w:sz w:val="22"/>
          <w:szCs w:val="22"/>
          <w:lang w:eastAsia="en-US"/>
        </w:rPr>
      </w:pPr>
      <w:r>
        <w:rPr>
          <w:rFonts w:eastAsia="Calibri"/>
          <w:sz w:val="22"/>
          <w:szCs w:val="22"/>
          <w:lang w:eastAsia="en-US"/>
        </w:rPr>
        <w:t xml:space="preserve">The principal aim of this </w:t>
      </w:r>
      <w:r w:rsidR="00565745">
        <w:rPr>
          <w:rFonts w:eastAsia="Calibri"/>
          <w:sz w:val="22"/>
          <w:szCs w:val="22"/>
          <w:lang w:eastAsia="en-US"/>
        </w:rPr>
        <w:t>stream</w:t>
      </w:r>
      <w:r>
        <w:rPr>
          <w:rFonts w:eastAsia="Calibri"/>
          <w:sz w:val="22"/>
          <w:szCs w:val="22"/>
          <w:lang w:eastAsia="en-US"/>
        </w:rPr>
        <w:t xml:space="preserve"> is to engage a global community of scholars and practitioners in research projects on policies and strategies related to accounting control, accountability, governance and anti-corruption initiatives across all sectors and to disseminate knowledge to enable more sustainable, accountable, transparent and less corrupt organisational activity regardless of where it is placed in the world.  </w:t>
      </w:r>
    </w:p>
    <w:p w:rsidR="006D2A97" w:rsidRDefault="006D2A97">
      <w:pPr>
        <w:jc w:val="both"/>
        <w:rPr>
          <w:rFonts w:eastAsia="Calibri"/>
          <w:sz w:val="22"/>
          <w:szCs w:val="22"/>
          <w:lang w:eastAsia="en-US"/>
        </w:rPr>
      </w:pPr>
    </w:p>
    <w:p w:rsidR="006D2A97" w:rsidRDefault="006B4A3A">
      <w:pPr>
        <w:jc w:val="both"/>
        <w:rPr>
          <w:rFonts w:eastAsia="Calibri"/>
          <w:sz w:val="22"/>
          <w:szCs w:val="22"/>
          <w:lang w:eastAsia="en-US"/>
        </w:rPr>
      </w:pPr>
      <w:r>
        <w:rPr>
          <w:rFonts w:eastAsia="Calibri"/>
          <w:sz w:val="22"/>
          <w:szCs w:val="22"/>
          <w:lang w:eastAsia="en-US"/>
        </w:rPr>
        <w:t xml:space="preserve">In this </w:t>
      </w:r>
      <w:r w:rsidR="00565745">
        <w:rPr>
          <w:rFonts w:eastAsia="Calibri"/>
          <w:sz w:val="22"/>
          <w:szCs w:val="22"/>
          <w:lang w:eastAsia="en-US"/>
        </w:rPr>
        <w:t>stream</w:t>
      </w:r>
      <w:r>
        <w:rPr>
          <w:rFonts w:eastAsia="Calibri"/>
          <w:sz w:val="22"/>
          <w:szCs w:val="22"/>
          <w:lang w:eastAsia="en-US"/>
        </w:rPr>
        <w:t xml:space="preserve">, we call for contributions that explore managerial and accounting control, accountability, governance and anti-corruption initiatives in organisations through a critical lens. Potential contributors are encouraged to interpret this theme broadly, yet critically, including the application of diverse theoretical and methodological perspectives to a wide range of countries and regional settings. </w:t>
      </w:r>
    </w:p>
    <w:p w:rsidR="006D2A97" w:rsidRDefault="006D2A97">
      <w:pPr>
        <w:jc w:val="both"/>
        <w:rPr>
          <w:rFonts w:eastAsia="Calibri"/>
          <w:sz w:val="22"/>
          <w:szCs w:val="22"/>
          <w:lang w:eastAsia="en-US"/>
        </w:rPr>
      </w:pPr>
    </w:p>
    <w:p w:rsidR="006D2A97" w:rsidRDefault="006B4A3A">
      <w:pPr>
        <w:jc w:val="both"/>
        <w:rPr>
          <w:rFonts w:eastAsia="Calibri"/>
          <w:sz w:val="22"/>
          <w:szCs w:val="22"/>
          <w:lang w:eastAsia="en-US"/>
        </w:rPr>
      </w:pPr>
      <w:r>
        <w:rPr>
          <w:rFonts w:eastAsia="Calibri"/>
          <w:sz w:val="22"/>
          <w:szCs w:val="22"/>
          <w:lang w:eastAsia="en-US"/>
        </w:rPr>
        <w:t xml:space="preserve">Topics for this </w:t>
      </w:r>
      <w:r w:rsidR="00197316">
        <w:rPr>
          <w:rFonts w:eastAsia="Calibri"/>
          <w:sz w:val="22"/>
          <w:szCs w:val="22"/>
          <w:lang w:eastAsia="en-US"/>
        </w:rPr>
        <w:t>stream</w:t>
      </w:r>
      <w:r>
        <w:rPr>
          <w:rFonts w:eastAsia="Calibri"/>
          <w:sz w:val="22"/>
          <w:szCs w:val="22"/>
          <w:lang w:eastAsia="en-US"/>
        </w:rPr>
        <w:t xml:space="preserve"> include, but are not limited to, the following:</w:t>
      </w:r>
    </w:p>
    <w:p w:rsidR="006D2A97" w:rsidRDefault="006B4A3A">
      <w:pPr>
        <w:numPr>
          <w:ilvl w:val="0"/>
          <w:numId w:val="1"/>
        </w:numPr>
        <w:ind w:left="720"/>
        <w:jc w:val="both"/>
        <w:rPr>
          <w:rFonts w:eastAsia="Calibri"/>
          <w:sz w:val="22"/>
          <w:szCs w:val="22"/>
          <w:lang w:eastAsia="en-US"/>
        </w:rPr>
      </w:pPr>
      <w:r>
        <w:rPr>
          <w:rFonts w:eastAsia="Calibri"/>
          <w:sz w:val="22"/>
          <w:szCs w:val="22"/>
          <w:lang w:eastAsia="en-US"/>
        </w:rPr>
        <w:t>The interplay between accounting and government in the context of management control systems, accountability and governance in private, public or third sector organisations;</w:t>
      </w:r>
    </w:p>
    <w:p w:rsidR="006D2A97" w:rsidRDefault="006B4A3A">
      <w:pPr>
        <w:numPr>
          <w:ilvl w:val="0"/>
          <w:numId w:val="1"/>
        </w:numPr>
        <w:ind w:left="720"/>
        <w:jc w:val="both"/>
        <w:rPr>
          <w:rFonts w:eastAsia="Calibri"/>
          <w:sz w:val="22"/>
          <w:szCs w:val="22"/>
          <w:lang w:eastAsia="en-US"/>
        </w:rPr>
      </w:pPr>
      <w:r>
        <w:rPr>
          <w:rFonts w:eastAsia="Calibri"/>
          <w:sz w:val="22"/>
          <w:szCs w:val="22"/>
          <w:lang w:eastAsia="en-US"/>
        </w:rPr>
        <w:t>The interaction between accounting and both decentralization and a free press, and their impact on accountability, governance and corruption;</w:t>
      </w:r>
    </w:p>
    <w:p w:rsidR="006D2A97" w:rsidRDefault="006B4A3A">
      <w:pPr>
        <w:numPr>
          <w:ilvl w:val="0"/>
          <w:numId w:val="1"/>
        </w:numPr>
        <w:ind w:left="720"/>
        <w:jc w:val="both"/>
        <w:rPr>
          <w:rFonts w:eastAsia="Calibri"/>
          <w:sz w:val="22"/>
          <w:szCs w:val="22"/>
          <w:lang w:eastAsia="en-US"/>
        </w:rPr>
      </w:pPr>
      <w:r>
        <w:rPr>
          <w:rFonts w:eastAsia="Calibri"/>
          <w:sz w:val="22"/>
          <w:szCs w:val="22"/>
          <w:lang w:eastAsia="en-US"/>
        </w:rPr>
        <w:t xml:space="preserve">Reform of public financial management to improve performance and mitigate gaming through subjective performance appraisals; </w:t>
      </w:r>
    </w:p>
    <w:p w:rsidR="006D2A97" w:rsidRDefault="006B4A3A">
      <w:pPr>
        <w:numPr>
          <w:ilvl w:val="0"/>
          <w:numId w:val="1"/>
        </w:numPr>
        <w:ind w:left="720"/>
        <w:jc w:val="both"/>
        <w:rPr>
          <w:rFonts w:eastAsia="Calibri"/>
          <w:sz w:val="22"/>
          <w:szCs w:val="22"/>
          <w:lang w:eastAsia="en-US"/>
        </w:rPr>
      </w:pPr>
      <w:r>
        <w:rPr>
          <w:rFonts w:eastAsia="Calibri"/>
          <w:sz w:val="22"/>
          <w:szCs w:val="22"/>
          <w:lang w:eastAsia="en-US"/>
        </w:rPr>
        <w:t xml:space="preserve">Procurement reform and public-sector project controls and accountability; </w:t>
      </w:r>
    </w:p>
    <w:p w:rsidR="006D2A97" w:rsidRDefault="006B4A3A">
      <w:pPr>
        <w:numPr>
          <w:ilvl w:val="0"/>
          <w:numId w:val="1"/>
        </w:numPr>
        <w:ind w:left="720"/>
        <w:jc w:val="both"/>
        <w:rPr>
          <w:rFonts w:eastAsia="Calibri"/>
          <w:sz w:val="22"/>
          <w:szCs w:val="22"/>
          <w:lang w:eastAsia="en-US"/>
        </w:rPr>
      </w:pPr>
      <w:r>
        <w:rPr>
          <w:rFonts w:eastAsia="Calibri"/>
          <w:sz w:val="22"/>
          <w:szCs w:val="22"/>
          <w:lang w:eastAsia="en-US"/>
        </w:rPr>
        <w:t xml:space="preserve">Audit institutions and the role of internal and external audits as a means of establishing transparency and reducing levels of fraud and corruption in private, public or third sector organisations; </w:t>
      </w:r>
    </w:p>
    <w:p w:rsidR="006D2A97" w:rsidRDefault="006B4A3A">
      <w:pPr>
        <w:numPr>
          <w:ilvl w:val="0"/>
          <w:numId w:val="1"/>
        </w:numPr>
        <w:ind w:left="720"/>
        <w:jc w:val="both"/>
        <w:rPr>
          <w:rFonts w:eastAsia="Calibri"/>
          <w:sz w:val="22"/>
          <w:szCs w:val="22"/>
          <w:lang w:eastAsia="en-US"/>
        </w:rPr>
      </w:pPr>
      <w:r>
        <w:rPr>
          <w:rFonts w:eastAsia="Calibri"/>
          <w:sz w:val="22"/>
          <w:szCs w:val="22"/>
          <w:lang w:eastAsia="en-US"/>
        </w:rPr>
        <w:t xml:space="preserve">Anti-fraud/corruption and accountability/governance initiatives involving community monitoring and the media; </w:t>
      </w:r>
    </w:p>
    <w:p w:rsidR="006D2A97" w:rsidRDefault="006B4A3A">
      <w:pPr>
        <w:numPr>
          <w:ilvl w:val="0"/>
          <w:numId w:val="1"/>
        </w:numPr>
        <w:ind w:left="720"/>
        <w:jc w:val="both"/>
        <w:rPr>
          <w:rFonts w:eastAsia="Calibri"/>
          <w:sz w:val="22"/>
          <w:szCs w:val="22"/>
          <w:lang w:eastAsia="en-US"/>
        </w:rPr>
      </w:pPr>
      <w:r>
        <w:rPr>
          <w:rFonts w:eastAsia="Calibri"/>
          <w:sz w:val="22"/>
          <w:szCs w:val="22"/>
          <w:lang w:eastAsia="en-US"/>
        </w:rPr>
        <w:lastRenderedPageBreak/>
        <w:t xml:space="preserve">Anti-fraud/corruption laws, including freedom of information laws, conflict of interest laws, or </w:t>
      </w:r>
      <w:r w:rsidR="00C24788">
        <w:rPr>
          <w:rFonts w:eastAsia="Calibri"/>
          <w:sz w:val="22"/>
          <w:szCs w:val="22"/>
          <w:lang w:eastAsia="en-US"/>
        </w:rPr>
        <w:t>whistle-blower</w:t>
      </w:r>
      <w:r>
        <w:rPr>
          <w:rFonts w:eastAsia="Calibri"/>
          <w:sz w:val="22"/>
          <w:szCs w:val="22"/>
          <w:lang w:eastAsia="en-US"/>
        </w:rPr>
        <w:t xml:space="preserve"> legislation;</w:t>
      </w:r>
    </w:p>
    <w:p w:rsidR="006D2A97" w:rsidRDefault="006B4A3A">
      <w:pPr>
        <w:numPr>
          <w:ilvl w:val="0"/>
          <w:numId w:val="1"/>
        </w:numPr>
        <w:ind w:left="720"/>
        <w:jc w:val="both"/>
        <w:rPr>
          <w:rFonts w:eastAsia="Calibri"/>
          <w:sz w:val="22"/>
          <w:szCs w:val="22"/>
          <w:lang w:eastAsia="en-US"/>
        </w:rPr>
      </w:pPr>
      <w:r>
        <w:rPr>
          <w:rFonts w:eastAsia="Calibri"/>
          <w:sz w:val="22"/>
          <w:szCs w:val="22"/>
          <w:lang w:eastAsia="en-US"/>
        </w:rPr>
        <w:t>Anti-corruption conditionalities in aid-allocation decisions in developing countries.</w:t>
      </w:r>
    </w:p>
    <w:p w:rsidR="006D2A97" w:rsidRDefault="006D2A97">
      <w:pPr>
        <w:jc w:val="both"/>
        <w:rPr>
          <w:rFonts w:eastAsia="Calibri"/>
          <w:sz w:val="22"/>
          <w:szCs w:val="22"/>
          <w:lang w:eastAsia="en-US"/>
        </w:rPr>
      </w:pPr>
    </w:p>
    <w:p w:rsidR="006D2A97" w:rsidRDefault="006D2A97">
      <w:pPr>
        <w:jc w:val="both"/>
        <w:rPr>
          <w:rFonts w:eastAsia="Calibri"/>
          <w:sz w:val="22"/>
          <w:szCs w:val="22"/>
          <w:lang w:eastAsia="en-US"/>
        </w:rPr>
      </w:pPr>
    </w:p>
    <w:p w:rsidR="004629BB" w:rsidRDefault="004629BB" w:rsidP="004629BB">
      <w:pPr>
        <w:jc w:val="both"/>
        <w:rPr>
          <w:rFonts w:eastAsia="Calibri"/>
          <w:sz w:val="22"/>
          <w:szCs w:val="22"/>
          <w:lang w:eastAsia="en-US"/>
        </w:rPr>
      </w:pPr>
      <w:r>
        <w:rPr>
          <w:rFonts w:eastAsia="Calibri"/>
          <w:sz w:val="22"/>
          <w:szCs w:val="22"/>
          <w:lang w:eastAsia="en-US"/>
        </w:rPr>
        <w:t>Should you wish to participate in this stream then p</w:t>
      </w:r>
      <w:r w:rsidRPr="004629BB">
        <w:rPr>
          <w:rFonts w:eastAsia="Calibri"/>
          <w:sz w:val="22"/>
          <w:szCs w:val="22"/>
          <w:lang w:eastAsia="en-US"/>
        </w:rPr>
        <w:t>lease submit a 500-word abstract (excluding references, one page, Word document NOT PDF, single spaced, no header, footers or track changes) together with</w:t>
      </w:r>
      <w:r>
        <w:rPr>
          <w:rFonts w:eastAsia="Calibri"/>
          <w:sz w:val="22"/>
          <w:szCs w:val="22"/>
          <w:lang w:eastAsia="en-US"/>
        </w:rPr>
        <w:t xml:space="preserve"> your contact information to Dr Audrey Paterson at </w:t>
      </w:r>
      <w:hyperlink r:id="rId7" w:history="1">
        <w:r w:rsidRPr="00A63D6C">
          <w:rPr>
            <w:rStyle w:val="Hyperlink"/>
            <w:rFonts w:eastAsia="Calibri"/>
            <w:sz w:val="22"/>
            <w:szCs w:val="22"/>
            <w:lang w:eastAsia="en-US"/>
          </w:rPr>
          <w:t>aseresearch95@gmail.com</w:t>
        </w:r>
      </w:hyperlink>
      <w:r>
        <w:rPr>
          <w:rFonts w:eastAsia="Calibri"/>
          <w:sz w:val="22"/>
          <w:szCs w:val="22"/>
          <w:lang w:eastAsia="en-US"/>
        </w:rPr>
        <w:t xml:space="preserve"> </w:t>
      </w:r>
      <w:r w:rsidRPr="004629BB">
        <w:rPr>
          <w:rFonts w:eastAsia="Calibri"/>
          <w:sz w:val="22"/>
          <w:szCs w:val="22"/>
          <w:lang w:eastAsia="en-US"/>
        </w:rPr>
        <w:t xml:space="preserve">. The deadline for submission of abstracts is January 31st, 2019, and we will notify you of our decision by the end of February. </w:t>
      </w:r>
    </w:p>
    <w:p w:rsidR="004629BB" w:rsidRDefault="004629BB" w:rsidP="004629BB">
      <w:pPr>
        <w:jc w:val="both"/>
        <w:rPr>
          <w:rFonts w:eastAsia="Calibri"/>
          <w:sz w:val="22"/>
          <w:szCs w:val="22"/>
          <w:lang w:eastAsia="en-US"/>
        </w:rPr>
      </w:pPr>
    </w:p>
    <w:p w:rsidR="004629BB" w:rsidRPr="004629BB" w:rsidRDefault="004629BB" w:rsidP="004629BB">
      <w:pPr>
        <w:jc w:val="both"/>
        <w:rPr>
          <w:rFonts w:eastAsia="Calibri"/>
          <w:sz w:val="22"/>
          <w:szCs w:val="22"/>
          <w:lang w:eastAsia="en-US"/>
        </w:rPr>
      </w:pPr>
    </w:p>
    <w:p w:rsidR="004629BB" w:rsidRDefault="004629BB" w:rsidP="004629BB">
      <w:pPr>
        <w:pStyle w:val="xmsolistparagraph"/>
        <w:ind w:left="454" w:right="454"/>
        <w:rPr>
          <w:color w:val="000000"/>
          <w:sz w:val="24"/>
          <w:szCs w:val="24"/>
        </w:rPr>
      </w:pPr>
      <w:r>
        <w:rPr>
          <w:rFonts w:ascii="Cambria" w:hAnsi="Cambria"/>
          <w:color w:val="000000"/>
          <w:sz w:val="24"/>
          <w:szCs w:val="24"/>
        </w:rPr>
        <w:t> </w:t>
      </w:r>
    </w:p>
    <w:p w:rsidR="006D2A97" w:rsidRDefault="006D2A97">
      <w:pPr>
        <w:jc w:val="both"/>
      </w:pPr>
    </w:p>
    <w:sectPr w:rsidR="006D2A9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A6F" w:rsidRDefault="003C6A6F">
      <w:r>
        <w:separator/>
      </w:r>
    </w:p>
  </w:endnote>
  <w:endnote w:type="continuationSeparator" w:id="0">
    <w:p w:rsidR="003C6A6F" w:rsidRDefault="003C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A6F" w:rsidRDefault="003C6A6F">
      <w:r>
        <w:rPr>
          <w:color w:val="000000"/>
        </w:rPr>
        <w:separator/>
      </w:r>
    </w:p>
  </w:footnote>
  <w:footnote w:type="continuationSeparator" w:id="0">
    <w:p w:rsidR="003C6A6F" w:rsidRDefault="003C6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B1B3B"/>
    <w:multiLevelType w:val="multilevel"/>
    <w:tmpl w:val="D1B6ABE2"/>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97"/>
    <w:rsid w:val="00191F83"/>
    <w:rsid w:val="00197316"/>
    <w:rsid w:val="002C2DFA"/>
    <w:rsid w:val="00342272"/>
    <w:rsid w:val="003C6A6F"/>
    <w:rsid w:val="004629BB"/>
    <w:rsid w:val="00542B66"/>
    <w:rsid w:val="00565745"/>
    <w:rsid w:val="00575CB5"/>
    <w:rsid w:val="006B4A3A"/>
    <w:rsid w:val="006D2A97"/>
    <w:rsid w:val="00856034"/>
    <w:rsid w:val="009B0A11"/>
    <w:rsid w:val="00BE3E3F"/>
    <w:rsid w:val="00C24788"/>
    <w:rsid w:val="00C45E5D"/>
    <w:rsid w:val="00D6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9A604-B565-42D7-9154-335EB27D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Pr>
      <w:rFonts w:ascii="Calibri" w:eastAsia="Calibri" w:hAnsi="Calibri" w:cs="Calibri"/>
      <w:sz w:val="22"/>
      <w:szCs w:val="22"/>
    </w:rPr>
  </w:style>
  <w:style w:type="paragraph" w:styleId="NormalWeb">
    <w:name w:val="Normal (Web)"/>
    <w:basedOn w:val="Normal"/>
    <w:pPr>
      <w:spacing w:before="100" w:after="10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customStyle="1" w:styleId="xmsolistparagraph">
    <w:name w:val="x_msolistparagraph"/>
    <w:basedOn w:val="Normal"/>
    <w:rsid w:val="004629BB"/>
    <w:pPr>
      <w:suppressAutoHyphens w:val="0"/>
      <w:autoSpaceDN/>
      <w:textAlignment w:val="auto"/>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462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70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research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Jackson</dc:creator>
  <dc:description/>
  <cp:lastModifiedBy>Caroline Clarke</cp:lastModifiedBy>
  <cp:revision>2</cp:revision>
  <dcterms:created xsi:type="dcterms:W3CDTF">2018-10-21T21:33:00Z</dcterms:created>
  <dcterms:modified xsi:type="dcterms:W3CDTF">2018-10-21T21:33:00Z</dcterms:modified>
</cp:coreProperties>
</file>