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A894" w14:textId="267B6735" w:rsidR="00D8056F" w:rsidRPr="00666ACC" w:rsidRDefault="00D8056F" w:rsidP="006F6279">
      <w:pPr>
        <w:spacing w:line="276" w:lineRule="auto"/>
        <w:jc w:val="center"/>
        <w:rPr>
          <w:rFonts w:cstheme="minorHAnsi"/>
          <w:b/>
          <w:sz w:val="28"/>
          <w:lang w:val="en-US"/>
        </w:rPr>
      </w:pPr>
      <w:bookmarkStart w:id="0" w:name="_GoBack"/>
      <w:bookmarkEnd w:id="0"/>
      <w:r w:rsidRPr="00666ACC">
        <w:rPr>
          <w:rFonts w:cstheme="minorHAnsi"/>
          <w:b/>
          <w:sz w:val="28"/>
          <w:lang w:val="en-US"/>
        </w:rPr>
        <w:t xml:space="preserve">CMS Sub-theme: </w:t>
      </w:r>
      <w:r w:rsidR="0037196C" w:rsidRPr="00666ACC">
        <w:rPr>
          <w:rFonts w:cstheme="minorHAnsi"/>
          <w:b/>
          <w:sz w:val="28"/>
          <w:lang w:val="en-US"/>
        </w:rPr>
        <w:t>Practices and strategies of ignorance</w:t>
      </w:r>
    </w:p>
    <w:p w14:paraId="27952CD4" w14:textId="3173F229" w:rsidR="00B83AEC" w:rsidRPr="00FB0522" w:rsidRDefault="00B83AEC" w:rsidP="006F6279">
      <w:pPr>
        <w:spacing w:line="276" w:lineRule="auto"/>
        <w:rPr>
          <w:rFonts w:cstheme="minorHAnsi"/>
          <w:lang w:val="en-US"/>
        </w:rPr>
      </w:pPr>
      <w:r w:rsidRPr="00FB0522">
        <w:rPr>
          <w:rFonts w:cstheme="minorHAnsi"/>
          <w:lang w:val="en-US"/>
        </w:rPr>
        <w:t xml:space="preserve">Janna Rose, </w:t>
      </w:r>
      <w:r w:rsidRPr="00666ACC">
        <w:rPr>
          <w:rFonts w:cstheme="minorHAnsi"/>
          <w:i/>
          <w:lang w:val="en-US"/>
        </w:rPr>
        <w:t>Grenoble Ecole de Management</w:t>
      </w:r>
      <w:r w:rsidR="00FB0522">
        <w:rPr>
          <w:rFonts w:cstheme="minorHAnsi"/>
          <w:lang w:val="en-US"/>
        </w:rPr>
        <w:t>,</w:t>
      </w:r>
      <w:r w:rsidRPr="00FB0522">
        <w:rPr>
          <w:rFonts w:cstheme="minorHAnsi"/>
          <w:lang w:val="en-US"/>
        </w:rPr>
        <w:t xml:space="preserve"> </w:t>
      </w:r>
      <w:hyperlink r:id="rId5" w:history="1">
        <w:r w:rsidRPr="00FB0522">
          <w:rPr>
            <w:rStyle w:val="Hyperlink"/>
            <w:rFonts w:cstheme="minorHAnsi"/>
            <w:lang w:val="en-US"/>
          </w:rPr>
          <w:t>janna.rose@grenoble-em.com</w:t>
        </w:r>
      </w:hyperlink>
    </w:p>
    <w:p w14:paraId="20E58C8C" w14:textId="5291052A" w:rsidR="00D8056F" w:rsidRPr="00666ACC" w:rsidRDefault="00D8056F" w:rsidP="006F6279">
      <w:pPr>
        <w:spacing w:line="276" w:lineRule="auto"/>
        <w:rPr>
          <w:rStyle w:val="Hyperlink"/>
          <w:rFonts w:cstheme="minorHAnsi"/>
          <w:lang w:val="en-US"/>
        </w:rPr>
      </w:pPr>
      <w:r w:rsidRPr="00666ACC">
        <w:rPr>
          <w:rFonts w:cstheme="minorHAnsi"/>
          <w:lang w:val="en-US"/>
        </w:rPr>
        <w:t xml:space="preserve">Marcos Barros, </w:t>
      </w:r>
      <w:r w:rsidRPr="00666ACC">
        <w:rPr>
          <w:rFonts w:cstheme="minorHAnsi"/>
          <w:i/>
          <w:lang w:val="en-US"/>
        </w:rPr>
        <w:t>Grenoble Ecole de Management</w:t>
      </w:r>
      <w:r w:rsidR="00FB0522" w:rsidRPr="00666ACC">
        <w:rPr>
          <w:rFonts w:cstheme="minorHAnsi"/>
          <w:lang w:val="en-US"/>
        </w:rPr>
        <w:t>,</w:t>
      </w:r>
      <w:r w:rsidRPr="00666ACC">
        <w:rPr>
          <w:rFonts w:cstheme="minorHAnsi"/>
          <w:lang w:val="en-US"/>
        </w:rPr>
        <w:t xml:space="preserve"> </w:t>
      </w:r>
      <w:hyperlink r:id="rId6" w:history="1">
        <w:r w:rsidRPr="00666ACC">
          <w:rPr>
            <w:rStyle w:val="Hyperlink"/>
            <w:rFonts w:cstheme="minorHAnsi"/>
            <w:lang w:val="en-US"/>
          </w:rPr>
          <w:t>marcos.barros@grenoble-em.com</w:t>
        </w:r>
      </w:hyperlink>
    </w:p>
    <w:p w14:paraId="214D8DEF" w14:textId="77777777" w:rsidR="005D06E3" w:rsidRPr="00FB0522" w:rsidRDefault="005D06E3" w:rsidP="006F6279">
      <w:pPr>
        <w:spacing w:line="276" w:lineRule="auto"/>
        <w:rPr>
          <w:rFonts w:cstheme="minorHAnsi"/>
          <w:lang w:val="en-US"/>
        </w:rPr>
      </w:pPr>
      <w:r w:rsidRPr="00666ACC">
        <w:rPr>
          <w:rStyle w:val="Hyperlink"/>
          <w:rFonts w:cstheme="minorHAnsi"/>
          <w:color w:val="auto"/>
          <w:u w:val="none"/>
          <w:lang w:val="en-US"/>
        </w:rPr>
        <w:t xml:space="preserve">Ozan Nadir </w:t>
      </w:r>
      <w:proofErr w:type="spellStart"/>
      <w:r w:rsidRPr="00666ACC">
        <w:rPr>
          <w:rStyle w:val="Hyperlink"/>
          <w:rFonts w:cstheme="minorHAnsi"/>
          <w:color w:val="auto"/>
          <w:u w:val="none"/>
          <w:lang w:val="en-US"/>
        </w:rPr>
        <w:t>Alakavuklar</w:t>
      </w:r>
      <w:proofErr w:type="spellEnd"/>
      <w:r w:rsidRPr="00666ACC">
        <w:rPr>
          <w:rStyle w:val="Hyperlink"/>
          <w:rFonts w:cstheme="minorHAnsi"/>
          <w:color w:val="auto"/>
          <w:u w:val="none"/>
          <w:lang w:val="en-US"/>
        </w:rPr>
        <w:t xml:space="preserve">, </w:t>
      </w:r>
      <w:r w:rsidRPr="00666ACC">
        <w:rPr>
          <w:rStyle w:val="Hyperlink"/>
          <w:rFonts w:cstheme="minorHAnsi"/>
          <w:i/>
          <w:color w:val="auto"/>
          <w:u w:val="none"/>
          <w:lang w:val="en-US"/>
        </w:rPr>
        <w:t>Massey University</w:t>
      </w:r>
      <w:r w:rsidRPr="00666ACC">
        <w:rPr>
          <w:rStyle w:val="Hyperlink"/>
          <w:rFonts w:cstheme="minorHAnsi"/>
          <w:color w:val="auto"/>
          <w:u w:val="none"/>
          <w:lang w:val="en-US"/>
        </w:rPr>
        <w:t>,</w:t>
      </w:r>
      <w:r w:rsidRPr="00666ACC">
        <w:rPr>
          <w:rStyle w:val="Hyperlink"/>
          <w:rFonts w:cstheme="minorHAnsi"/>
          <w:color w:val="auto"/>
          <w:lang w:val="en-US"/>
        </w:rPr>
        <w:t xml:space="preserve"> </w:t>
      </w:r>
      <w:r w:rsidRPr="00FB0522">
        <w:rPr>
          <w:rStyle w:val="Hyperlink"/>
          <w:rFonts w:cstheme="minorHAnsi"/>
          <w:lang w:val="en-US"/>
        </w:rPr>
        <w:t>o.n.alakavuklar@massey.ac.nz</w:t>
      </w:r>
    </w:p>
    <w:p w14:paraId="002E7283" w14:textId="77777777" w:rsidR="00666ACC" w:rsidRDefault="00666ACC" w:rsidP="006F6279">
      <w:pPr>
        <w:spacing w:line="276" w:lineRule="auto"/>
        <w:ind w:firstLine="708"/>
        <w:rPr>
          <w:rFonts w:cstheme="minorHAnsi"/>
          <w:lang w:val="en-US"/>
        </w:rPr>
      </w:pPr>
    </w:p>
    <w:p w14:paraId="3DFCAD23" w14:textId="4D5D494A" w:rsidR="00666ACC" w:rsidRDefault="00261713" w:rsidP="006F6279">
      <w:pPr>
        <w:spacing w:line="276" w:lineRule="auto"/>
        <w:ind w:firstLine="708"/>
        <w:rPr>
          <w:rFonts w:cstheme="minorHAnsi"/>
          <w:lang w:val="en-US"/>
        </w:rPr>
      </w:pPr>
      <w:r w:rsidRPr="00FB0522">
        <w:rPr>
          <w:rFonts w:cstheme="minorHAnsi"/>
          <w:lang w:val="en-US"/>
        </w:rPr>
        <w:t xml:space="preserve">The social construction of knowledge is often taken as a truism, yet the simultaneous production of </w:t>
      </w:r>
      <w:r w:rsidR="00BD5EE5">
        <w:rPr>
          <w:rFonts w:cstheme="minorHAnsi"/>
          <w:lang w:val="en-US"/>
        </w:rPr>
        <w:t>ignorance during</w:t>
      </w:r>
      <w:r w:rsidRPr="00FB0522">
        <w:rPr>
          <w:rFonts w:cstheme="minorHAnsi"/>
          <w:lang w:val="en-US"/>
        </w:rPr>
        <w:t xml:space="preserve"> knowledge creation process</w:t>
      </w:r>
      <w:r w:rsidR="00BD5EE5">
        <w:rPr>
          <w:rFonts w:cstheme="minorHAnsi"/>
          <w:lang w:val="en-US"/>
        </w:rPr>
        <w:t>es</w:t>
      </w:r>
      <w:r w:rsidRPr="00FB0522">
        <w:rPr>
          <w:rFonts w:cstheme="minorHAnsi"/>
          <w:lang w:val="en-US"/>
        </w:rPr>
        <w:t xml:space="preserve"> has been</w:t>
      </w:r>
      <w:r w:rsidR="00EB4241" w:rsidRPr="00FB0522">
        <w:rPr>
          <w:rFonts w:cstheme="minorHAnsi"/>
          <w:lang w:val="en-US"/>
        </w:rPr>
        <w:t xml:space="preserve"> paradoxically </w:t>
      </w:r>
      <w:r w:rsidRPr="00666ACC">
        <w:rPr>
          <w:rFonts w:cstheme="minorHAnsi"/>
          <w:i/>
          <w:lang w:val="en-US"/>
        </w:rPr>
        <w:t>ignored</w:t>
      </w:r>
      <w:r w:rsidRPr="00FB0522">
        <w:rPr>
          <w:rFonts w:cstheme="minorHAnsi"/>
          <w:lang w:val="en-US"/>
        </w:rPr>
        <w:t xml:space="preserve">.  </w:t>
      </w:r>
      <w:r w:rsidR="00D8056F" w:rsidRPr="00FB0522">
        <w:rPr>
          <w:rFonts w:cstheme="minorHAnsi"/>
          <w:lang w:val="en-US"/>
        </w:rPr>
        <w:t>The role of ignorance in social life is undeniable</w:t>
      </w:r>
      <w:r w:rsidR="00D40228" w:rsidRPr="00FB0522">
        <w:rPr>
          <w:rFonts w:cstheme="minorHAnsi"/>
          <w:lang w:val="en-US"/>
        </w:rPr>
        <w:t xml:space="preserve"> with </w:t>
      </w:r>
      <w:r w:rsidRPr="00FB0522">
        <w:rPr>
          <w:rFonts w:cstheme="minorHAnsi"/>
          <w:lang w:val="en-US"/>
        </w:rPr>
        <w:t>information overload, fake news, doubt-as-a-product</w:t>
      </w:r>
      <w:r w:rsidR="00D40228" w:rsidRPr="00FB0522">
        <w:rPr>
          <w:rFonts w:cstheme="minorHAnsi"/>
          <w:lang w:val="en-US"/>
        </w:rPr>
        <w:t xml:space="preserve">, and attention economies playing key roles.  </w:t>
      </w:r>
      <w:r w:rsidRPr="00FB0522">
        <w:rPr>
          <w:rFonts w:cstheme="minorHAnsi"/>
          <w:lang w:val="en-US"/>
        </w:rPr>
        <w:t xml:space="preserve">The </w:t>
      </w:r>
      <w:r w:rsidR="00D8056F" w:rsidRPr="00FB0522">
        <w:rPr>
          <w:rFonts w:cstheme="minorHAnsi"/>
          <w:lang w:val="en-US"/>
        </w:rPr>
        <w:t>study</w:t>
      </w:r>
      <w:r w:rsidRPr="00FB0522">
        <w:rPr>
          <w:rFonts w:cstheme="minorHAnsi"/>
          <w:lang w:val="en-US"/>
        </w:rPr>
        <w:t xml:space="preserve"> of ignorance</w:t>
      </w:r>
      <w:r w:rsidR="00D8056F" w:rsidRPr="00FB0522">
        <w:rPr>
          <w:rFonts w:cstheme="minorHAnsi"/>
          <w:lang w:val="en-US"/>
        </w:rPr>
        <w:t xml:space="preserve"> has suffered from the stigma and </w:t>
      </w:r>
      <w:r w:rsidRPr="00FB0522">
        <w:rPr>
          <w:rFonts w:cstheme="minorHAnsi"/>
          <w:lang w:val="en-US"/>
        </w:rPr>
        <w:t>norms</w:t>
      </w:r>
      <w:r w:rsidR="00D8056F" w:rsidRPr="00FB0522">
        <w:rPr>
          <w:rFonts w:cstheme="minorHAnsi"/>
          <w:lang w:val="en-US"/>
        </w:rPr>
        <w:t xml:space="preserve"> </w:t>
      </w:r>
      <w:r w:rsidRPr="00FB0522">
        <w:rPr>
          <w:rFonts w:cstheme="minorHAnsi"/>
          <w:lang w:val="en-US"/>
        </w:rPr>
        <w:t>resulting</w:t>
      </w:r>
      <w:r w:rsidR="00D8056F" w:rsidRPr="00FB0522">
        <w:rPr>
          <w:rFonts w:cstheme="minorHAnsi"/>
          <w:lang w:val="en-US"/>
        </w:rPr>
        <w:t xml:space="preserve"> from a scientific culture where the production and accumulation of knowledge </w:t>
      </w:r>
      <w:r w:rsidRPr="00FB0522">
        <w:rPr>
          <w:rFonts w:cstheme="minorHAnsi"/>
          <w:lang w:val="en-US"/>
        </w:rPr>
        <w:t xml:space="preserve">dominate </w:t>
      </w:r>
      <w:r w:rsidR="00D8056F" w:rsidRPr="00FB0522">
        <w:rPr>
          <w:rFonts w:cstheme="minorHAnsi"/>
          <w:lang w:val="en-US"/>
        </w:rPr>
        <w:t xml:space="preserve">the </w:t>
      </w:r>
      <w:r w:rsidR="00537386" w:rsidRPr="00FB0522">
        <w:rPr>
          <w:rFonts w:cstheme="minorHAnsi"/>
          <w:lang w:val="en-US"/>
        </w:rPr>
        <w:t>main</w:t>
      </w:r>
      <w:r w:rsidR="00D8056F" w:rsidRPr="00FB0522">
        <w:rPr>
          <w:rFonts w:cstheme="minorHAnsi"/>
          <w:lang w:val="en-US"/>
        </w:rPr>
        <w:t xml:space="preserve"> </w:t>
      </w:r>
      <w:r w:rsidR="00537386" w:rsidRPr="00FB0522">
        <w:rPr>
          <w:rFonts w:cstheme="minorHAnsi"/>
          <w:lang w:val="en-US"/>
        </w:rPr>
        <w:t>drive</w:t>
      </w:r>
      <w:r w:rsidR="00D8056F" w:rsidRPr="00FB0522">
        <w:rPr>
          <w:rFonts w:cstheme="minorHAnsi"/>
          <w:lang w:val="en-US"/>
        </w:rPr>
        <w:t xml:space="preserve"> of soci</w:t>
      </w:r>
      <w:r w:rsidR="00EB4241" w:rsidRPr="00FB0522">
        <w:rPr>
          <w:rFonts w:cstheme="minorHAnsi"/>
          <w:lang w:val="en-US"/>
        </w:rPr>
        <w:t>al, economic, and political legitimacy and authority</w:t>
      </w:r>
      <w:r w:rsidR="00D8056F" w:rsidRPr="00FB0522">
        <w:rPr>
          <w:rFonts w:cstheme="minorHAnsi"/>
          <w:lang w:val="en-US"/>
        </w:rPr>
        <w:t xml:space="preserve">.  </w:t>
      </w:r>
    </w:p>
    <w:p w14:paraId="4C358326" w14:textId="4BD44776" w:rsidR="00D8056F" w:rsidRPr="00FB0522" w:rsidRDefault="00D8056F" w:rsidP="006F6279">
      <w:pPr>
        <w:spacing w:line="276" w:lineRule="auto"/>
        <w:ind w:firstLine="708"/>
        <w:rPr>
          <w:rFonts w:cstheme="minorHAnsi"/>
          <w:lang w:val="en-US"/>
        </w:rPr>
      </w:pPr>
      <w:r w:rsidRPr="00FB0522">
        <w:rPr>
          <w:rFonts w:cstheme="minorHAnsi"/>
          <w:lang w:val="en-US"/>
        </w:rPr>
        <w:t xml:space="preserve">Nevertheless, the critical study of </w:t>
      </w:r>
      <w:r w:rsidR="00BD5EE5">
        <w:rPr>
          <w:rFonts w:cstheme="minorHAnsi"/>
          <w:lang w:val="en-US"/>
        </w:rPr>
        <w:t>ignorance has been gaining traction</w:t>
      </w:r>
      <w:r w:rsidRPr="00FB0522">
        <w:rPr>
          <w:rFonts w:cstheme="minorHAnsi"/>
          <w:lang w:val="en-US"/>
        </w:rPr>
        <w:t xml:space="preserve"> in social studies in the last decade. Following the footsteps of Bourdieu and Foucault, scholars have started to recognize </w:t>
      </w:r>
      <w:r w:rsidR="00CF3501" w:rsidRPr="00FB0522">
        <w:rPr>
          <w:rFonts w:cstheme="minorHAnsi"/>
          <w:lang w:val="en-US"/>
        </w:rPr>
        <w:t>how “the unspoken and unspeakable are generated and mobilized in the interests of power and capital” (</w:t>
      </w:r>
      <w:proofErr w:type="spellStart"/>
      <w:r w:rsidR="00CF3501" w:rsidRPr="00FB0522">
        <w:rPr>
          <w:rFonts w:cstheme="minorHAnsi"/>
          <w:lang w:val="en-US"/>
        </w:rPr>
        <w:t>Mair</w:t>
      </w:r>
      <w:proofErr w:type="spellEnd"/>
      <w:r w:rsidR="00CF3501" w:rsidRPr="00FB0522">
        <w:rPr>
          <w:rFonts w:cstheme="minorHAnsi"/>
          <w:lang w:val="en-US"/>
        </w:rPr>
        <w:t xml:space="preserve"> et al., 2012, p.</w:t>
      </w:r>
      <w:r w:rsidR="00333547" w:rsidRPr="00FB0522">
        <w:rPr>
          <w:rFonts w:cstheme="minorHAnsi"/>
          <w:lang w:val="en-US"/>
        </w:rPr>
        <w:t>14</w:t>
      </w:r>
      <w:r w:rsidR="00CF3501" w:rsidRPr="00FB0522">
        <w:rPr>
          <w:rFonts w:cstheme="minorHAnsi"/>
          <w:lang w:val="en-US"/>
        </w:rPr>
        <w:t>). Most particularly, many studies have explored how major corporations have strategically created doubt and ignorance in order to promote their own interests (Michaels, 2008; Oreske</w:t>
      </w:r>
      <w:r w:rsidR="00333547" w:rsidRPr="00FB0522">
        <w:rPr>
          <w:rFonts w:cstheme="minorHAnsi"/>
          <w:lang w:val="en-US"/>
        </w:rPr>
        <w:t>s</w:t>
      </w:r>
      <w:r w:rsidR="00CF3501" w:rsidRPr="00FB0522">
        <w:rPr>
          <w:rFonts w:cstheme="minorHAnsi"/>
          <w:lang w:val="en-US"/>
        </w:rPr>
        <w:t xml:space="preserve"> and Conway, 2010</w:t>
      </w:r>
      <w:r w:rsidR="00F45137">
        <w:rPr>
          <w:rFonts w:cstheme="minorHAnsi"/>
          <w:lang w:val="en-US"/>
        </w:rPr>
        <w:t>; Proctor, 2011</w:t>
      </w:r>
      <w:r w:rsidR="00CF3501" w:rsidRPr="00FB0522">
        <w:rPr>
          <w:rFonts w:cstheme="minorHAnsi"/>
          <w:lang w:val="en-US"/>
        </w:rPr>
        <w:t>).</w:t>
      </w:r>
      <w:r w:rsidR="0011174D" w:rsidRPr="00FB0522">
        <w:rPr>
          <w:rFonts w:cstheme="minorHAnsi"/>
          <w:lang w:val="en-US"/>
        </w:rPr>
        <w:t xml:space="preserve"> </w:t>
      </w:r>
      <w:r w:rsidR="005D06E3" w:rsidRPr="00FB0522">
        <w:rPr>
          <w:rFonts w:cstheme="minorHAnsi"/>
          <w:lang w:val="en-US"/>
        </w:rPr>
        <w:t>Yet, i</w:t>
      </w:r>
      <w:r w:rsidR="0011174D" w:rsidRPr="00FB0522">
        <w:rPr>
          <w:rFonts w:cstheme="minorHAnsi"/>
          <w:lang w:val="en-US"/>
        </w:rPr>
        <w:t xml:space="preserve">t is also a question how rising </w:t>
      </w:r>
      <w:r w:rsidR="00CC6834" w:rsidRPr="00FB0522">
        <w:rPr>
          <w:rFonts w:cstheme="minorHAnsi"/>
          <w:lang w:val="en-US"/>
        </w:rPr>
        <w:t xml:space="preserve">populism, </w:t>
      </w:r>
      <w:r w:rsidR="0011174D" w:rsidRPr="00FB0522">
        <w:rPr>
          <w:rFonts w:cstheme="minorHAnsi"/>
          <w:lang w:val="en-US"/>
        </w:rPr>
        <w:t>skepticism about</w:t>
      </w:r>
      <w:r w:rsidR="00CC6834" w:rsidRPr="00FB0522">
        <w:rPr>
          <w:rFonts w:cstheme="minorHAnsi"/>
          <w:lang w:val="en-US"/>
        </w:rPr>
        <w:t xml:space="preserve"> </w:t>
      </w:r>
      <w:r w:rsidR="0011174D" w:rsidRPr="00FB0522">
        <w:rPr>
          <w:rFonts w:cstheme="minorHAnsi"/>
          <w:lang w:val="en-US"/>
        </w:rPr>
        <w:t>expert</w:t>
      </w:r>
      <w:r w:rsidR="00CC6834" w:rsidRPr="00FB0522">
        <w:rPr>
          <w:rFonts w:cstheme="minorHAnsi"/>
          <w:lang w:val="en-US"/>
        </w:rPr>
        <w:t>i</w:t>
      </w:r>
      <w:r w:rsidR="0011174D" w:rsidRPr="00FB0522">
        <w:rPr>
          <w:rFonts w:cstheme="minorHAnsi"/>
          <w:lang w:val="en-US"/>
        </w:rPr>
        <w:t>s</w:t>
      </w:r>
      <w:r w:rsidR="00CC6834" w:rsidRPr="00FB0522">
        <w:rPr>
          <w:rFonts w:cstheme="minorHAnsi"/>
          <w:lang w:val="en-US"/>
        </w:rPr>
        <w:t>e (Huising, 2015)</w:t>
      </w:r>
      <w:r w:rsidR="005D06E3" w:rsidRPr="00FB0522">
        <w:rPr>
          <w:rFonts w:cstheme="minorHAnsi"/>
          <w:lang w:val="en-US"/>
        </w:rPr>
        <w:t>,</w:t>
      </w:r>
      <w:r w:rsidR="0011174D" w:rsidRPr="00FB0522">
        <w:rPr>
          <w:rFonts w:cstheme="minorHAnsi"/>
          <w:lang w:val="en-US"/>
        </w:rPr>
        <w:t xml:space="preserve"> and the so</w:t>
      </w:r>
      <w:r w:rsidR="00CC6834" w:rsidRPr="00FB0522">
        <w:rPr>
          <w:rFonts w:cstheme="minorHAnsi"/>
          <w:lang w:val="en-US"/>
        </w:rPr>
        <w:t>-</w:t>
      </w:r>
      <w:r w:rsidR="0011174D" w:rsidRPr="00FB0522">
        <w:rPr>
          <w:rFonts w:cstheme="minorHAnsi"/>
          <w:lang w:val="en-US"/>
        </w:rPr>
        <w:t xml:space="preserve">called post-truth era </w:t>
      </w:r>
      <w:r w:rsidR="005E340C" w:rsidRPr="00FB0522">
        <w:rPr>
          <w:rFonts w:cstheme="minorHAnsi"/>
          <w:lang w:val="en-US"/>
        </w:rPr>
        <w:t>(</w:t>
      </w:r>
      <w:r w:rsidR="0011174D" w:rsidRPr="00FB0522">
        <w:rPr>
          <w:rFonts w:cstheme="minorHAnsi"/>
          <w:lang w:val="en-US"/>
        </w:rPr>
        <w:t>signifi</w:t>
      </w:r>
      <w:r w:rsidR="005E340C" w:rsidRPr="00FB0522">
        <w:rPr>
          <w:rFonts w:cstheme="minorHAnsi"/>
          <w:lang w:val="en-US"/>
        </w:rPr>
        <w:t>ed in the form of ‘fake news’ and</w:t>
      </w:r>
      <w:r w:rsidR="0011174D" w:rsidRPr="00FB0522">
        <w:rPr>
          <w:rFonts w:cstheme="minorHAnsi"/>
          <w:lang w:val="en-US"/>
        </w:rPr>
        <w:t xml:space="preserve"> ‘alternative </w:t>
      </w:r>
      <w:r w:rsidR="005E340C" w:rsidRPr="00FB0522">
        <w:rPr>
          <w:rFonts w:cstheme="minorHAnsi"/>
          <w:lang w:val="en-US"/>
        </w:rPr>
        <w:t>facts</w:t>
      </w:r>
      <w:r w:rsidR="0011174D" w:rsidRPr="00FB0522">
        <w:rPr>
          <w:rFonts w:cstheme="minorHAnsi"/>
          <w:lang w:val="en-US"/>
        </w:rPr>
        <w:t>’</w:t>
      </w:r>
      <w:r w:rsidR="005E340C" w:rsidRPr="00FB0522">
        <w:rPr>
          <w:rFonts w:cstheme="minorHAnsi"/>
          <w:lang w:val="en-US"/>
        </w:rPr>
        <w:t>)</w:t>
      </w:r>
      <w:r w:rsidR="0011174D" w:rsidRPr="00FB0522">
        <w:rPr>
          <w:rFonts w:cstheme="minorHAnsi"/>
          <w:lang w:val="en-US"/>
        </w:rPr>
        <w:t xml:space="preserve"> </w:t>
      </w:r>
      <w:r w:rsidR="005D06E3" w:rsidRPr="00FB0522">
        <w:rPr>
          <w:rFonts w:cstheme="minorHAnsi"/>
          <w:lang w:val="en-US"/>
        </w:rPr>
        <w:t xml:space="preserve">affect the relationship between truth, fact, doubt and ignorance (Kelly and </w:t>
      </w:r>
      <w:proofErr w:type="spellStart"/>
      <w:r w:rsidR="005D06E3" w:rsidRPr="00FB0522">
        <w:rPr>
          <w:rFonts w:cstheme="minorHAnsi"/>
          <w:lang w:val="en-US"/>
        </w:rPr>
        <w:t>McGoey</w:t>
      </w:r>
      <w:proofErr w:type="spellEnd"/>
      <w:r w:rsidR="005D06E3" w:rsidRPr="00FB0522">
        <w:rPr>
          <w:rFonts w:cstheme="minorHAnsi"/>
          <w:lang w:val="en-US"/>
        </w:rPr>
        <w:t xml:space="preserve">, 2018). </w:t>
      </w:r>
      <w:r w:rsidR="0011174D" w:rsidRPr="00FB0522">
        <w:rPr>
          <w:rFonts w:cstheme="minorHAnsi"/>
          <w:lang w:val="en-US"/>
        </w:rPr>
        <w:t xml:space="preserve">  </w:t>
      </w:r>
    </w:p>
    <w:p w14:paraId="3BF52903" w14:textId="58ABF02E" w:rsidR="00537386" w:rsidRPr="00FB0522" w:rsidRDefault="00D8056F" w:rsidP="006F6279">
      <w:pPr>
        <w:spacing w:line="276" w:lineRule="auto"/>
        <w:ind w:firstLine="708"/>
        <w:rPr>
          <w:rFonts w:cstheme="minorHAnsi"/>
          <w:lang w:val="en-US"/>
        </w:rPr>
      </w:pPr>
      <w:r w:rsidRPr="00FB0522">
        <w:rPr>
          <w:rFonts w:cstheme="minorHAnsi"/>
          <w:lang w:val="en-US"/>
        </w:rPr>
        <w:t xml:space="preserve">The critical appraisal of the power of ignorance, however, </w:t>
      </w:r>
      <w:r w:rsidR="00537386" w:rsidRPr="00FB0522">
        <w:rPr>
          <w:rFonts w:cstheme="minorHAnsi"/>
          <w:lang w:val="en-US"/>
        </w:rPr>
        <w:t>should go beyond the macro strategy of big actors</w:t>
      </w:r>
      <w:r w:rsidR="00486354" w:rsidRPr="00FB0522">
        <w:rPr>
          <w:rFonts w:cstheme="minorHAnsi"/>
          <w:lang w:val="en-US"/>
        </w:rPr>
        <w:t xml:space="preserve"> (</w:t>
      </w:r>
      <w:proofErr w:type="spellStart"/>
      <w:r w:rsidR="00333547" w:rsidRPr="00FB0522">
        <w:rPr>
          <w:rFonts w:cstheme="minorHAnsi"/>
          <w:lang w:val="en-US"/>
        </w:rPr>
        <w:t>McGoey</w:t>
      </w:r>
      <w:proofErr w:type="spellEnd"/>
      <w:r w:rsidR="00333547" w:rsidRPr="00FB0522">
        <w:rPr>
          <w:rFonts w:cstheme="minorHAnsi"/>
          <w:lang w:val="en-US"/>
        </w:rPr>
        <w:t>, 2012</w:t>
      </w:r>
      <w:r w:rsidR="00043972" w:rsidRPr="00FB0522">
        <w:rPr>
          <w:rFonts w:cstheme="minorHAnsi"/>
          <w:lang w:val="en-US"/>
        </w:rPr>
        <w:t>)</w:t>
      </w:r>
      <w:r w:rsidR="00537386" w:rsidRPr="00FB0522">
        <w:rPr>
          <w:rFonts w:cstheme="minorHAnsi"/>
          <w:lang w:val="en-US"/>
        </w:rPr>
        <w:t>. Sociologists and anthropologists have recently been calling for studies t</w:t>
      </w:r>
      <w:r w:rsidR="00CC6834" w:rsidRPr="00FB0522">
        <w:rPr>
          <w:rFonts w:cstheme="minorHAnsi"/>
          <w:lang w:val="en-US"/>
        </w:rPr>
        <w:t xml:space="preserve">o </w:t>
      </w:r>
      <w:r w:rsidR="00537386" w:rsidRPr="00FB0522">
        <w:rPr>
          <w:rFonts w:cstheme="minorHAnsi"/>
          <w:lang w:val="en-US"/>
        </w:rPr>
        <w:t>investigate the practice of ignorance in everyday lives</w:t>
      </w:r>
      <w:r w:rsidR="00043972" w:rsidRPr="00FB0522">
        <w:rPr>
          <w:rFonts w:cstheme="minorHAnsi"/>
          <w:lang w:val="en-US"/>
        </w:rPr>
        <w:t xml:space="preserve"> (</w:t>
      </w:r>
      <w:proofErr w:type="spellStart"/>
      <w:r w:rsidR="0037196C" w:rsidRPr="00FB0522">
        <w:rPr>
          <w:rFonts w:cstheme="minorHAnsi"/>
          <w:lang w:val="en-US"/>
        </w:rPr>
        <w:t>Tuana</w:t>
      </w:r>
      <w:proofErr w:type="spellEnd"/>
      <w:r w:rsidR="0037196C" w:rsidRPr="00FB0522">
        <w:rPr>
          <w:rFonts w:cstheme="minorHAnsi"/>
          <w:lang w:val="en-US"/>
        </w:rPr>
        <w:t xml:space="preserve"> and Sullivan, 2006; </w:t>
      </w:r>
      <w:r w:rsidR="004115E1" w:rsidRPr="00FB0522">
        <w:rPr>
          <w:rFonts w:cstheme="minorHAnsi"/>
          <w:lang w:val="en-US"/>
        </w:rPr>
        <w:t>Marder</w:t>
      </w:r>
      <w:r w:rsidR="00333547" w:rsidRPr="00FB0522">
        <w:rPr>
          <w:rFonts w:cstheme="minorHAnsi"/>
          <w:lang w:val="en-US"/>
        </w:rPr>
        <w:t>,</w:t>
      </w:r>
      <w:r w:rsidR="004115E1" w:rsidRPr="00FB0522">
        <w:rPr>
          <w:rFonts w:cstheme="minorHAnsi"/>
          <w:lang w:val="en-US"/>
        </w:rPr>
        <w:t xml:space="preserve"> 2015</w:t>
      </w:r>
      <w:r w:rsidR="00043972" w:rsidRPr="00FB0522">
        <w:rPr>
          <w:rFonts w:cstheme="minorHAnsi"/>
          <w:lang w:val="en-US"/>
        </w:rPr>
        <w:t>)</w:t>
      </w:r>
      <w:r w:rsidR="00537386" w:rsidRPr="00FB0522">
        <w:rPr>
          <w:rFonts w:cstheme="minorHAnsi"/>
          <w:lang w:val="en-US"/>
        </w:rPr>
        <w:t>. In other words, ignorance is also a part of micro practices that serve to sustain or</w:t>
      </w:r>
      <w:r w:rsidR="00043972" w:rsidRPr="00FB0522">
        <w:rPr>
          <w:rFonts w:cstheme="minorHAnsi"/>
          <w:lang w:val="en-US"/>
        </w:rPr>
        <w:t xml:space="preserve"> disrupt social order (</w:t>
      </w:r>
      <w:r w:rsidR="00F45137">
        <w:rPr>
          <w:rFonts w:cstheme="minorHAnsi"/>
          <w:lang w:val="en-US"/>
        </w:rPr>
        <w:t xml:space="preserve">Scott, 1985; </w:t>
      </w:r>
      <w:proofErr w:type="spellStart"/>
      <w:r w:rsidR="004115E1" w:rsidRPr="00FB0522">
        <w:rPr>
          <w:rFonts w:cstheme="minorHAnsi"/>
          <w:lang w:val="en-US"/>
        </w:rPr>
        <w:t>Mair</w:t>
      </w:r>
      <w:proofErr w:type="spellEnd"/>
      <w:r w:rsidR="004115E1" w:rsidRPr="00FB0522">
        <w:rPr>
          <w:rFonts w:cstheme="minorHAnsi"/>
          <w:lang w:val="en-US"/>
        </w:rPr>
        <w:t xml:space="preserve"> et al., 2012</w:t>
      </w:r>
      <w:r w:rsidR="00043972" w:rsidRPr="00FB0522">
        <w:rPr>
          <w:rFonts w:cstheme="minorHAnsi"/>
          <w:lang w:val="en-US"/>
        </w:rPr>
        <w:t>). F</w:t>
      </w:r>
      <w:r w:rsidR="00537386" w:rsidRPr="00FB0522">
        <w:rPr>
          <w:rFonts w:cstheme="minorHAnsi"/>
          <w:lang w:val="en-US"/>
        </w:rPr>
        <w:t>r</w:t>
      </w:r>
      <w:r w:rsidR="00043972" w:rsidRPr="00FB0522">
        <w:rPr>
          <w:rFonts w:cstheme="minorHAnsi"/>
          <w:lang w:val="en-US"/>
        </w:rPr>
        <w:t>om a critical point of view, this</w:t>
      </w:r>
      <w:r w:rsidR="00537386" w:rsidRPr="00FB0522">
        <w:rPr>
          <w:rFonts w:cstheme="minorHAnsi"/>
          <w:lang w:val="en-US"/>
        </w:rPr>
        <w:t xml:space="preserve"> perspective might stress </w:t>
      </w:r>
      <w:r w:rsidR="00043972" w:rsidRPr="00FB0522">
        <w:rPr>
          <w:rFonts w:cstheme="minorHAnsi"/>
          <w:lang w:val="en-US"/>
        </w:rPr>
        <w:t xml:space="preserve">how ignorance is part of a systemic mode of control, but also </w:t>
      </w:r>
      <w:r w:rsidR="00537386" w:rsidRPr="00FB0522">
        <w:rPr>
          <w:rFonts w:cstheme="minorHAnsi"/>
          <w:lang w:val="en-US"/>
        </w:rPr>
        <w:t xml:space="preserve">how actors might create spaces of emancipation through practices of ignorance. </w:t>
      </w:r>
      <w:r w:rsidR="003C4A49" w:rsidRPr="00FB0522">
        <w:rPr>
          <w:rFonts w:cstheme="minorHAnsi"/>
          <w:lang w:val="en-US"/>
        </w:rPr>
        <w:t xml:space="preserve">Moreover, they might explore micro-practices of </w:t>
      </w:r>
      <w:r w:rsidR="00CC6834" w:rsidRPr="00FB0522">
        <w:rPr>
          <w:rFonts w:cstheme="minorHAnsi"/>
          <w:lang w:val="en-US"/>
        </w:rPr>
        <w:t>epistemicide</w:t>
      </w:r>
      <w:r w:rsidR="003C4A49" w:rsidRPr="00FB0522">
        <w:rPr>
          <w:rFonts w:cstheme="minorHAnsi"/>
          <w:lang w:val="en-US"/>
        </w:rPr>
        <w:t xml:space="preserve"> or “cognitive injustice” (de Sousa Santos, 2015).</w:t>
      </w:r>
    </w:p>
    <w:p w14:paraId="47333A9F" w14:textId="6CDFF3E1" w:rsidR="00620AAB" w:rsidRPr="00FB0522" w:rsidRDefault="00620AAB" w:rsidP="006F6279">
      <w:pPr>
        <w:spacing w:line="276" w:lineRule="auto"/>
        <w:ind w:firstLine="708"/>
        <w:rPr>
          <w:rFonts w:cstheme="minorHAnsi"/>
          <w:lang w:val="en-US"/>
        </w:rPr>
      </w:pPr>
      <w:r w:rsidRPr="00FB0522">
        <w:rPr>
          <w:rFonts w:cstheme="minorHAnsi"/>
          <w:lang w:val="en-US"/>
        </w:rPr>
        <w:t>As a broad field of study</w:t>
      </w:r>
      <w:r w:rsidR="00CC6834" w:rsidRPr="00FB0522">
        <w:rPr>
          <w:rFonts w:cstheme="minorHAnsi"/>
          <w:lang w:val="en-US"/>
        </w:rPr>
        <w:t>,</w:t>
      </w:r>
      <w:r w:rsidRPr="00FB0522">
        <w:rPr>
          <w:rFonts w:cstheme="minorHAnsi"/>
          <w:lang w:val="en-US"/>
        </w:rPr>
        <w:t xml:space="preserve"> management and organization studies </w:t>
      </w:r>
      <w:r w:rsidR="00CC6834" w:rsidRPr="00FB0522">
        <w:rPr>
          <w:rFonts w:cstheme="minorHAnsi"/>
          <w:lang w:val="en-US"/>
        </w:rPr>
        <w:t>are</w:t>
      </w:r>
      <w:r w:rsidRPr="00FB0522">
        <w:rPr>
          <w:rFonts w:cstheme="minorHAnsi"/>
          <w:lang w:val="en-US"/>
        </w:rPr>
        <w:t xml:space="preserve"> criticized </w:t>
      </w:r>
      <w:r w:rsidR="00CC6834" w:rsidRPr="00FB0522">
        <w:rPr>
          <w:rFonts w:cstheme="minorHAnsi"/>
          <w:lang w:val="en-US"/>
        </w:rPr>
        <w:t>for their</w:t>
      </w:r>
      <w:r w:rsidRPr="00FB0522">
        <w:rPr>
          <w:rFonts w:cstheme="minorHAnsi"/>
          <w:lang w:val="en-US"/>
        </w:rPr>
        <w:t xml:space="preserve"> </w:t>
      </w:r>
      <w:r w:rsidR="00CC6834" w:rsidRPr="00FB0522">
        <w:rPr>
          <w:rFonts w:cstheme="minorHAnsi"/>
          <w:lang w:val="en-US"/>
        </w:rPr>
        <w:t xml:space="preserve"> </w:t>
      </w:r>
      <w:r w:rsidRPr="00FB0522">
        <w:rPr>
          <w:rFonts w:cstheme="minorHAnsi"/>
          <w:lang w:val="en-US"/>
        </w:rPr>
        <w:t>ignor</w:t>
      </w:r>
      <w:r w:rsidR="00CC6834" w:rsidRPr="00FB0522">
        <w:rPr>
          <w:rFonts w:cstheme="minorHAnsi"/>
          <w:lang w:val="en-US"/>
        </w:rPr>
        <w:t>ing or excluding</w:t>
      </w:r>
      <w:r w:rsidRPr="00FB0522">
        <w:rPr>
          <w:rFonts w:cstheme="minorHAnsi"/>
          <w:lang w:val="en-US"/>
        </w:rPr>
        <w:t xml:space="preserve"> various socio-economic and political aspects </w:t>
      </w:r>
      <w:r w:rsidR="00CC6834" w:rsidRPr="00FB0522">
        <w:rPr>
          <w:rFonts w:cstheme="minorHAnsi"/>
          <w:lang w:val="en-US"/>
        </w:rPr>
        <w:t xml:space="preserve">that </w:t>
      </w:r>
      <w:r w:rsidRPr="00FB0522">
        <w:rPr>
          <w:rFonts w:cstheme="minorHAnsi"/>
          <w:lang w:val="en-US"/>
        </w:rPr>
        <w:t>shap</w:t>
      </w:r>
      <w:r w:rsidR="00CC6834" w:rsidRPr="00FB0522">
        <w:rPr>
          <w:rFonts w:cstheme="minorHAnsi"/>
          <w:lang w:val="en-US"/>
        </w:rPr>
        <w:t xml:space="preserve">e </w:t>
      </w:r>
      <w:r w:rsidRPr="00FB0522">
        <w:rPr>
          <w:rFonts w:cstheme="minorHAnsi"/>
          <w:lang w:val="en-US"/>
        </w:rPr>
        <w:t xml:space="preserve">organizations and organizational life (e.g. Slavery (Cooke, 2003); total institutions (Clegg, 2006); (post)colonialism (Westwood and Jack, 2007)). </w:t>
      </w:r>
      <w:r w:rsidR="001549E0">
        <w:rPr>
          <w:rFonts w:cstheme="minorHAnsi"/>
          <w:lang w:val="en-US"/>
        </w:rPr>
        <w:t>Similarly, a focus on</w:t>
      </w:r>
      <w:r w:rsidR="00FC03A0" w:rsidRPr="00FB0522">
        <w:rPr>
          <w:rFonts w:cstheme="minorHAnsi"/>
          <w:lang w:val="en-US"/>
        </w:rPr>
        <w:t xml:space="preserve"> </w:t>
      </w:r>
      <w:r w:rsidR="005E340C" w:rsidRPr="00FB0522">
        <w:rPr>
          <w:rFonts w:cstheme="minorHAnsi"/>
          <w:lang w:val="en-US"/>
        </w:rPr>
        <w:t>how such</w:t>
      </w:r>
      <w:r w:rsidR="00FC03A0" w:rsidRPr="00FB0522">
        <w:rPr>
          <w:rFonts w:cstheme="minorHAnsi"/>
          <w:lang w:val="en-US"/>
        </w:rPr>
        <w:t xml:space="preserve"> epistemological</w:t>
      </w:r>
      <w:r w:rsidR="005E340C" w:rsidRPr="00FB0522">
        <w:rPr>
          <w:rFonts w:cstheme="minorHAnsi"/>
          <w:lang w:val="en-US"/>
        </w:rPr>
        <w:t xml:space="preserve"> and ontological</w:t>
      </w:r>
      <w:r w:rsidR="00FC03A0" w:rsidRPr="00FB0522">
        <w:rPr>
          <w:rFonts w:cstheme="minorHAnsi"/>
          <w:lang w:val="en-US"/>
        </w:rPr>
        <w:t xml:space="preserve"> ‘ignorance’, with its own politics, shape</w:t>
      </w:r>
      <w:r w:rsidR="005E340C" w:rsidRPr="00FB0522">
        <w:rPr>
          <w:rFonts w:cstheme="minorHAnsi"/>
          <w:lang w:val="en-US"/>
        </w:rPr>
        <w:t>s</w:t>
      </w:r>
      <w:r w:rsidR="00FC03A0" w:rsidRPr="00FB0522">
        <w:rPr>
          <w:rFonts w:cstheme="minorHAnsi"/>
          <w:lang w:val="en-US"/>
        </w:rPr>
        <w:t xml:space="preserve"> our understanding of organizing society and normaliz</w:t>
      </w:r>
      <w:r w:rsidR="00CC6834" w:rsidRPr="00FB0522">
        <w:rPr>
          <w:rFonts w:cstheme="minorHAnsi"/>
          <w:lang w:val="en-US"/>
        </w:rPr>
        <w:t>ing</w:t>
      </w:r>
      <w:r w:rsidR="00FC03A0" w:rsidRPr="00FB0522">
        <w:rPr>
          <w:rFonts w:cstheme="minorHAnsi"/>
          <w:lang w:val="en-US"/>
        </w:rPr>
        <w:t>/marginaliz</w:t>
      </w:r>
      <w:r w:rsidR="00CC6834" w:rsidRPr="00FB0522">
        <w:rPr>
          <w:rFonts w:cstheme="minorHAnsi"/>
          <w:lang w:val="en-US"/>
        </w:rPr>
        <w:t>ing</w:t>
      </w:r>
      <w:r w:rsidR="00FC03A0" w:rsidRPr="00FB0522">
        <w:rPr>
          <w:rFonts w:cstheme="minorHAnsi"/>
          <w:lang w:val="en-US"/>
        </w:rPr>
        <w:t xml:space="preserve"> specific theories and methodologies. </w:t>
      </w:r>
    </w:p>
    <w:p w14:paraId="675D720E" w14:textId="34249C8D" w:rsidR="00617CAF" w:rsidRPr="00FB0522" w:rsidRDefault="00617CAF" w:rsidP="006F6279">
      <w:pPr>
        <w:spacing w:line="276" w:lineRule="auto"/>
        <w:ind w:firstLine="708"/>
        <w:rPr>
          <w:rFonts w:cstheme="minorHAnsi"/>
          <w:lang w:val="en-US"/>
        </w:rPr>
      </w:pPr>
      <w:r w:rsidRPr="00FB0522">
        <w:rPr>
          <w:rFonts w:cstheme="minorHAnsi"/>
          <w:lang w:val="en-US"/>
        </w:rPr>
        <w:t>We invite contributions that consider, but are not limited to</w:t>
      </w:r>
      <w:r w:rsidR="00CC6834" w:rsidRPr="00FB0522">
        <w:rPr>
          <w:rFonts w:cstheme="minorHAnsi"/>
          <w:lang w:val="en-US"/>
        </w:rPr>
        <w:t>,</w:t>
      </w:r>
      <w:r w:rsidRPr="00FB0522">
        <w:rPr>
          <w:rFonts w:cstheme="minorHAnsi"/>
          <w:lang w:val="en-US"/>
        </w:rPr>
        <w:t xml:space="preserve"> the following themes and topics around the critical side of ignorance:</w:t>
      </w:r>
    </w:p>
    <w:p w14:paraId="06ED7CC6" w14:textId="59049749" w:rsidR="00617CAF" w:rsidRPr="00FB0522" w:rsidRDefault="00486354" w:rsidP="006F6279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 w:rsidRPr="00FB0522">
        <w:rPr>
          <w:rFonts w:cstheme="minorHAnsi"/>
          <w:lang w:val="en-US"/>
        </w:rPr>
        <w:t>Macro n</w:t>
      </w:r>
      <w:r w:rsidR="00666ACC">
        <w:rPr>
          <w:rFonts w:cstheme="minorHAnsi"/>
          <w:lang w:val="en-US"/>
        </w:rPr>
        <w:t>arratives of non-knowledge</w:t>
      </w:r>
    </w:p>
    <w:p w14:paraId="5FD86ACE" w14:textId="77777777" w:rsidR="00486354" w:rsidRPr="00FB0522" w:rsidRDefault="00486354" w:rsidP="006F6279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 w:rsidRPr="00FB0522">
        <w:rPr>
          <w:rFonts w:cstheme="minorHAnsi"/>
          <w:lang w:val="en-US"/>
        </w:rPr>
        <w:t xml:space="preserve">Strategic uses of ignorance, ambiguity, doubt, and secrecy </w:t>
      </w:r>
    </w:p>
    <w:p w14:paraId="0C86477E" w14:textId="77777777" w:rsidR="0037196C" w:rsidRPr="00FB0522" w:rsidRDefault="0037196C" w:rsidP="006F6279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 w:rsidRPr="00FB0522">
        <w:rPr>
          <w:rFonts w:cstheme="minorHAnsi"/>
          <w:lang w:val="en-US"/>
        </w:rPr>
        <w:t xml:space="preserve">Practices of epistemicide and </w:t>
      </w:r>
      <w:r w:rsidR="003103CC" w:rsidRPr="00FB0522">
        <w:rPr>
          <w:rFonts w:cstheme="minorHAnsi"/>
          <w:lang w:val="en-US"/>
        </w:rPr>
        <w:t xml:space="preserve">efforts of </w:t>
      </w:r>
      <w:r w:rsidRPr="00FB0522">
        <w:rPr>
          <w:rFonts w:cstheme="minorHAnsi"/>
          <w:lang w:val="en-US"/>
        </w:rPr>
        <w:t>“cognitive justice”</w:t>
      </w:r>
    </w:p>
    <w:p w14:paraId="16715A68" w14:textId="77777777" w:rsidR="00043972" w:rsidRPr="00FB0522" w:rsidRDefault="00043972" w:rsidP="006F6279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 w:rsidRPr="00FB0522">
        <w:rPr>
          <w:rFonts w:cstheme="minorHAnsi"/>
          <w:lang w:val="en-US"/>
        </w:rPr>
        <w:lastRenderedPageBreak/>
        <w:t>Power effects of ignorance</w:t>
      </w:r>
    </w:p>
    <w:p w14:paraId="15A61303" w14:textId="77777777" w:rsidR="00043972" w:rsidRPr="00FB0522" w:rsidRDefault="00043972" w:rsidP="006F6279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 w:rsidRPr="00FB0522">
        <w:rPr>
          <w:rFonts w:cstheme="minorHAnsi"/>
          <w:lang w:val="en-US"/>
        </w:rPr>
        <w:t>Ignorance as an act of resistance</w:t>
      </w:r>
      <w:r w:rsidR="00486354" w:rsidRPr="00FB0522">
        <w:rPr>
          <w:rFonts w:cstheme="minorHAnsi"/>
          <w:lang w:val="en-US"/>
        </w:rPr>
        <w:t xml:space="preserve"> and micro-emancipation</w:t>
      </w:r>
    </w:p>
    <w:p w14:paraId="1F341BA8" w14:textId="5DEA1E9A" w:rsidR="00043972" w:rsidRPr="00FB0522" w:rsidRDefault="00486354" w:rsidP="006F6279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 w:rsidRPr="00FB0522">
        <w:rPr>
          <w:rFonts w:cstheme="minorHAnsi"/>
          <w:lang w:val="en-US"/>
        </w:rPr>
        <w:t xml:space="preserve">Methodological challenges </w:t>
      </w:r>
      <w:r w:rsidR="00CC6834" w:rsidRPr="00FB0522">
        <w:rPr>
          <w:rFonts w:cstheme="minorHAnsi"/>
          <w:lang w:val="en-US"/>
        </w:rPr>
        <w:t xml:space="preserve">for </w:t>
      </w:r>
      <w:r w:rsidRPr="00FB0522">
        <w:rPr>
          <w:rFonts w:cstheme="minorHAnsi"/>
          <w:lang w:val="en-US"/>
        </w:rPr>
        <w:t>studying ignorance</w:t>
      </w:r>
    </w:p>
    <w:p w14:paraId="2D15AD09" w14:textId="77777777" w:rsidR="00FC03A0" w:rsidRPr="00FB0522" w:rsidRDefault="005D06E3" w:rsidP="006F6279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 w:rsidRPr="00FB0522">
        <w:rPr>
          <w:rFonts w:cstheme="minorHAnsi"/>
          <w:lang w:val="en-US"/>
        </w:rPr>
        <w:t>Epistemological and ontological i</w:t>
      </w:r>
      <w:r w:rsidR="00FC03A0" w:rsidRPr="00FB0522">
        <w:rPr>
          <w:rFonts w:cstheme="minorHAnsi"/>
          <w:lang w:val="en-US"/>
        </w:rPr>
        <w:t>gnorance and critical organization studies</w:t>
      </w:r>
    </w:p>
    <w:p w14:paraId="339C042B" w14:textId="77777777" w:rsidR="005D06E3" w:rsidRPr="00FB0522" w:rsidRDefault="005D06E3" w:rsidP="006F6279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 w:rsidRPr="00FB0522">
        <w:rPr>
          <w:rFonts w:cstheme="minorHAnsi"/>
          <w:lang w:val="en-US"/>
        </w:rPr>
        <w:t>Post-truth discussions and ignorance</w:t>
      </w:r>
    </w:p>
    <w:p w14:paraId="0F2346EE" w14:textId="04340633" w:rsidR="006F6279" w:rsidRDefault="006F6279" w:rsidP="006F6279">
      <w:pPr>
        <w:spacing w:line="276" w:lineRule="auto"/>
        <w:ind w:firstLine="708"/>
        <w:rPr>
          <w:rFonts w:cstheme="minorHAnsi"/>
          <w:lang w:val="en-US"/>
        </w:rPr>
      </w:pPr>
      <w:r w:rsidRPr="006F6279">
        <w:rPr>
          <w:rFonts w:cstheme="minorHAnsi"/>
          <w:lang w:val="en-US"/>
        </w:rPr>
        <w:t>Please submit a 500 word abstract (excluding references, one page, Word document NOT PDF, single spaced, no header, footers or track changes) together with your contact information to janna.rose@grenoble-em.com. The deadline for submission of abst</w:t>
      </w:r>
      <w:r w:rsidR="001549E0">
        <w:rPr>
          <w:rFonts w:cstheme="minorHAnsi"/>
          <w:lang w:val="en-US"/>
        </w:rPr>
        <w:t>racts is January 31, 2019. W</w:t>
      </w:r>
      <w:r w:rsidRPr="006F6279">
        <w:rPr>
          <w:rFonts w:cstheme="minorHAnsi"/>
          <w:lang w:val="en-US"/>
        </w:rPr>
        <w:t xml:space="preserve">e will notify you of our </w:t>
      </w:r>
      <w:r>
        <w:rPr>
          <w:rFonts w:cstheme="minorHAnsi"/>
          <w:lang w:val="en-US"/>
        </w:rPr>
        <w:t>decision by the end of February</w:t>
      </w:r>
      <w:r w:rsidRPr="006F6279">
        <w:rPr>
          <w:rFonts w:cstheme="minorHAnsi"/>
          <w:lang w:val="en-US"/>
        </w:rPr>
        <w:t xml:space="preserve">. </w:t>
      </w:r>
    </w:p>
    <w:p w14:paraId="177180AB" w14:textId="218AE0FA" w:rsidR="00EB4241" w:rsidRPr="00666ACC" w:rsidRDefault="00617CAF" w:rsidP="006F6279">
      <w:pPr>
        <w:spacing w:after="0" w:line="276" w:lineRule="auto"/>
        <w:rPr>
          <w:rFonts w:cstheme="minorHAnsi"/>
          <w:color w:val="222222"/>
          <w:shd w:val="clear" w:color="auto" w:fill="FFFFFF"/>
          <w:lang w:val="en-GB"/>
        </w:rPr>
      </w:pPr>
      <w:r w:rsidRPr="00FB0522">
        <w:rPr>
          <w:rFonts w:cstheme="minorHAnsi"/>
          <w:lang w:val="en-US"/>
        </w:rPr>
        <w:t>References:</w:t>
      </w:r>
    </w:p>
    <w:p w14:paraId="7E804897" w14:textId="245CCEAD" w:rsidR="005D06E3" w:rsidRPr="00666ACC" w:rsidRDefault="005D06E3" w:rsidP="006F6279">
      <w:pPr>
        <w:spacing w:after="0" w:line="276" w:lineRule="auto"/>
        <w:rPr>
          <w:rFonts w:cstheme="minorHAnsi"/>
          <w:color w:val="222222"/>
          <w:shd w:val="clear" w:color="auto" w:fill="FFFFFF"/>
          <w:lang w:val="en-GB"/>
        </w:rPr>
      </w:pPr>
      <w:r w:rsidRPr="00666ACC">
        <w:rPr>
          <w:rFonts w:cstheme="minorHAnsi"/>
          <w:color w:val="222222"/>
          <w:shd w:val="clear" w:color="auto" w:fill="FFFFFF"/>
          <w:lang w:val="en-GB"/>
        </w:rPr>
        <w:t>Clegg, S. R. (2006). Why is organization theory so ignorant? The neglect of total institutions. </w:t>
      </w:r>
      <w:r w:rsidRPr="00666ACC">
        <w:rPr>
          <w:rFonts w:cstheme="minorHAnsi"/>
          <w:i/>
          <w:iCs/>
          <w:color w:val="222222"/>
          <w:shd w:val="clear" w:color="auto" w:fill="FFFFFF"/>
          <w:lang w:val="en-GB"/>
        </w:rPr>
        <w:t>Journal of Management Inquiry</w:t>
      </w:r>
      <w:r w:rsidRPr="00666ACC">
        <w:rPr>
          <w:rFonts w:cstheme="minorHAnsi"/>
          <w:color w:val="222222"/>
          <w:shd w:val="clear" w:color="auto" w:fill="FFFFFF"/>
          <w:lang w:val="en-GB"/>
        </w:rPr>
        <w:t>, </w:t>
      </w:r>
      <w:r w:rsidRPr="00666ACC">
        <w:rPr>
          <w:rFonts w:cstheme="minorHAnsi"/>
          <w:i/>
          <w:iCs/>
          <w:color w:val="222222"/>
          <w:shd w:val="clear" w:color="auto" w:fill="FFFFFF"/>
          <w:lang w:val="en-GB"/>
        </w:rPr>
        <w:t>15</w:t>
      </w:r>
      <w:r w:rsidRPr="00666ACC">
        <w:rPr>
          <w:rFonts w:cstheme="minorHAnsi"/>
          <w:color w:val="222222"/>
          <w:shd w:val="clear" w:color="auto" w:fill="FFFFFF"/>
          <w:lang w:val="en-GB"/>
        </w:rPr>
        <w:t>(4), 426-430.</w:t>
      </w:r>
    </w:p>
    <w:p w14:paraId="1A6DC696" w14:textId="77777777" w:rsidR="005D06E3" w:rsidRPr="00FB0522" w:rsidRDefault="005D06E3" w:rsidP="006F6279">
      <w:pPr>
        <w:spacing w:after="0" w:line="276" w:lineRule="auto"/>
        <w:rPr>
          <w:rFonts w:cstheme="minorHAnsi"/>
          <w:lang w:val="en-US"/>
        </w:rPr>
      </w:pPr>
      <w:r w:rsidRPr="00666ACC">
        <w:rPr>
          <w:rFonts w:cstheme="minorHAnsi"/>
          <w:color w:val="222222"/>
          <w:shd w:val="clear" w:color="auto" w:fill="FFFFFF"/>
          <w:lang w:val="en-GB"/>
        </w:rPr>
        <w:t>Cooke, B. (2003). The denial of slavery in management studies. </w:t>
      </w:r>
      <w:r w:rsidRPr="00666ACC">
        <w:rPr>
          <w:rFonts w:cstheme="minorHAnsi"/>
          <w:i/>
          <w:iCs/>
          <w:color w:val="222222"/>
          <w:shd w:val="clear" w:color="auto" w:fill="FFFFFF"/>
          <w:lang w:val="en-GB"/>
        </w:rPr>
        <w:t>Journal of Management Studies</w:t>
      </w:r>
      <w:r w:rsidRPr="00666ACC">
        <w:rPr>
          <w:rFonts w:cstheme="minorHAnsi"/>
          <w:color w:val="222222"/>
          <w:shd w:val="clear" w:color="auto" w:fill="FFFFFF"/>
          <w:lang w:val="en-GB"/>
        </w:rPr>
        <w:t>, </w:t>
      </w:r>
      <w:r w:rsidRPr="00666ACC">
        <w:rPr>
          <w:rFonts w:cstheme="minorHAnsi"/>
          <w:i/>
          <w:iCs/>
          <w:color w:val="222222"/>
          <w:shd w:val="clear" w:color="auto" w:fill="FFFFFF"/>
          <w:lang w:val="en-GB"/>
        </w:rPr>
        <w:t>40</w:t>
      </w:r>
      <w:r w:rsidRPr="00666ACC">
        <w:rPr>
          <w:rFonts w:cstheme="minorHAnsi"/>
          <w:color w:val="222222"/>
          <w:shd w:val="clear" w:color="auto" w:fill="FFFFFF"/>
          <w:lang w:val="en-GB"/>
        </w:rPr>
        <w:t>(8), 1895-1918.</w:t>
      </w:r>
    </w:p>
    <w:p w14:paraId="00683A8B" w14:textId="77777777" w:rsidR="0037196C" w:rsidRPr="00FB0522" w:rsidRDefault="0037196C" w:rsidP="006F6279">
      <w:pPr>
        <w:spacing w:after="0" w:line="276" w:lineRule="auto"/>
        <w:rPr>
          <w:rFonts w:cstheme="minorHAnsi"/>
          <w:lang w:val="en-US"/>
        </w:rPr>
      </w:pPr>
      <w:r w:rsidRPr="00FB0522">
        <w:rPr>
          <w:rFonts w:cstheme="minorHAnsi"/>
          <w:lang w:val="en-US"/>
        </w:rPr>
        <w:t xml:space="preserve">de Sousa Santos, B. (2015). </w:t>
      </w:r>
      <w:r w:rsidRPr="00FB0522">
        <w:rPr>
          <w:rFonts w:cstheme="minorHAnsi"/>
          <w:i/>
          <w:lang w:val="en-US"/>
        </w:rPr>
        <w:t>Epistemologies of the South: Justice against epistemicide</w:t>
      </w:r>
      <w:r w:rsidRPr="00FB0522">
        <w:rPr>
          <w:rFonts w:cstheme="minorHAnsi"/>
          <w:lang w:val="en-US"/>
        </w:rPr>
        <w:t>. Routledge.</w:t>
      </w:r>
    </w:p>
    <w:p w14:paraId="399A9600" w14:textId="5CEE7F80" w:rsidR="000449F7" w:rsidRPr="00666ACC" w:rsidRDefault="000449F7" w:rsidP="006F6279">
      <w:pPr>
        <w:spacing w:after="0" w:line="276" w:lineRule="auto"/>
        <w:rPr>
          <w:rFonts w:cstheme="minorHAnsi"/>
          <w:color w:val="222222"/>
          <w:shd w:val="clear" w:color="auto" w:fill="FFFFFF"/>
          <w:lang w:val="en-GB"/>
        </w:rPr>
      </w:pPr>
      <w:r w:rsidRPr="00666ACC">
        <w:rPr>
          <w:rFonts w:cstheme="minorHAnsi"/>
          <w:color w:val="222222"/>
          <w:shd w:val="clear" w:color="auto" w:fill="FFFFFF"/>
          <w:lang w:val="en-GB"/>
        </w:rPr>
        <w:t>Huising, R. (2014).</w:t>
      </w:r>
      <w:r w:rsidR="007A3973">
        <w:rPr>
          <w:rFonts w:cstheme="minorHAnsi"/>
          <w:color w:val="222222"/>
          <w:shd w:val="clear" w:color="auto" w:fill="FFFFFF"/>
          <w:lang w:val="en-GB"/>
        </w:rPr>
        <w:t xml:space="preserve"> The Erosion of Expert Control t</w:t>
      </w:r>
      <w:r w:rsidRPr="00666ACC">
        <w:rPr>
          <w:rFonts w:cstheme="minorHAnsi"/>
          <w:color w:val="222222"/>
          <w:shd w:val="clear" w:color="auto" w:fill="FFFFFF"/>
          <w:lang w:val="en-GB"/>
        </w:rPr>
        <w:t xml:space="preserve">hrough Censure Episodes. </w:t>
      </w:r>
      <w:r w:rsidRPr="00666ACC">
        <w:rPr>
          <w:rFonts w:cstheme="minorHAnsi"/>
          <w:i/>
          <w:color w:val="222222"/>
          <w:shd w:val="clear" w:color="auto" w:fill="FFFFFF"/>
          <w:lang w:val="en-GB"/>
        </w:rPr>
        <w:t xml:space="preserve">Organization Science, </w:t>
      </w:r>
      <w:r w:rsidRPr="00666ACC">
        <w:rPr>
          <w:rFonts w:cstheme="minorHAnsi"/>
          <w:color w:val="222222"/>
          <w:shd w:val="clear" w:color="auto" w:fill="FFFFFF"/>
          <w:lang w:val="en-GB"/>
        </w:rPr>
        <w:t xml:space="preserve">25(6), 1633-1661. </w:t>
      </w:r>
    </w:p>
    <w:p w14:paraId="7A795DFB" w14:textId="77777777" w:rsidR="005D06E3" w:rsidRPr="00666ACC" w:rsidRDefault="005D06E3" w:rsidP="006F6279">
      <w:pPr>
        <w:spacing w:after="0" w:line="276" w:lineRule="auto"/>
        <w:rPr>
          <w:rFonts w:cstheme="minorHAnsi"/>
          <w:color w:val="222222"/>
          <w:shd w:val="clear" w:color="auto" w:fill="FFFFFF"/>
          <w:lang w:val="en-GB"/>
        </w:rPr>
      </w:pPr>
      <w:r w:rsidRPr="00666ACC">
        <w:rPr>
          <w:rFonts w:cstheme="minorHAnsi"/>
          <w:color w:val="222222"/>
          <w:shd w:val="clear" w:color="auto" w:fill="FFFFFF"/>
          <w:lang w:val="en-GB"/>
        </w:rPr>
        <w:t xml:space="preserve">Kelly, A. H., &amp; </w:t>
      </w:r>
      <w:proofErr w:type="spellStart"/>
      <w:r w:rsidRPr="00666ACC">
        <w:rPr>
          <w:rFonts w:cstheme="minorHAnsi"/>
          <w:color w:val="222222"/>
          <w:shd w:val="clear" w:color="auto" w:fill="FFFFFF"/>
          <w:lang w:val="en-GB"/>
        </w:rPr>
        <w:t>McGoey</w:t>
      </w:r>
      <w:proofErr w:type="spellEnd"/>
      <w:r w:rsidRPr="00666ACC">
        <w:rPr>
          <w:rFonts w:cstheme="minorHAnsi"/>
          <w:color w:val="222222"/>
          <w:shd w:val="clear" w:color="auto" w:fill="FFFFFF"/>
          <w:lang w:val="en-GB"/>
        </w:rPr>
        <w:t>, L. (2018). Facts, power and global evidence: a new empire of truth. </w:t>
      </w:r>
      <w:r w:rsidRPr="00666ACC">
        <w:rPr>
          <w:rFonts w:cstheme="minorHAnsi"/>
          <w:i/>
          <w:iCs/>
          <w:color w:val="222222"/>
          <w:shd w:val="clear" w:color="auto" w:fill="FFFFFF"/>
          <w:lang w:val="en-GB"/>
        </w:rPr>
        <w:t>Economy and Society</w:t>
      </w:r>
      <w:r w:rsidRPr="00666ACC">
        <w:rPr>
          <w:rFonts w:cstheme="minorHAnsi"/>
          <w:color w:val="222222"/>
          <w:shd w:val="clear" w:color="auto" w:fill="FFFFFF"/>
          <w:lang w:val="en-GB"/>
        </w:rPr>
        <w:t>, </w:t>
      </w:r>
      <w:r w:rsidRPr="00666ACC">
        <w:rPr>
          <w:rFonts w:cstheme="minorHAnsi"/>
          <w:i/>
          <w:iCs/>
          <w:color w:val="222222"/>
          <w:shd w:val="clear" w:color="auto" w:fill="FFFFFF"/>
          <w:lang w:val="en-GB"/>
        </w:rPr>
        <w:t>47</w:t>
      </w:r>
      <w:r w:rsidRPr="00666ACC">
        <w:rPr>
          <w:rFonts w:cstheme="minorHAnsi"/>
          <w:color w:val="222222"/>
          <w:shd w:val="clear" w:color="auto" w:fill="FFFFFF"/>
          <w:lang w:val="en-GB"/>
        </w:rPr>
        <w:t>(1), 1-26.</w:t>
      </w:r>
    </w:p>
    <w:p w14:paraId="1D176890" w14:textId="77777777" w:rsidR="00333547" w:rsidRPr="00FB0522" w:rsidRDefault="00333547" w:rsidP="006F6279">
      <w:pPr>
        <w:spacing w:after="0" w:line="276" w:lineRule="auto"/>
        <w:rPr>
          <w:rFonts w:cstheme="minorHAnsi"/>
          <w:lang w:val="en-US"/>
        </w:rPr>
      </w:pPr>
      <w:proofErr w:type="spellStart"/>
      <w:r w:rsidRPr="00FB0522">
        <w:rPr>
          <w:rFonts w:cstheme="minorHAnsi"/>
          <w:lang w:val="en-US"/>
        </w:rPr>
        <w:t>Mair</w:t>
      </w:r>
      <w:proofErr w:type="spellEnd"/>
      <w:r w:rsidRPr="00FB0522">
        <w:rPr>
          <w:rFonts w:cstheme="minorHAnsi"/>
          <w:lang w:val="en-US"/>
        </w:rPr>
        <w:t xml:space="preserve">, J., Kelly, A. H., &amp; High, C. (2012). Introduction: making ignorance an ethnographic object. In </w:t>
      </w:r>
      <w:r w:rsidRPr="00FB0522">
        <w:rPr>
          <w:rFonts w:cstheme="minorHAnsi"/>
          <w:i/>
          <w:lang w:val="en-US"/>
        </w:rPr>
        <w:t>The Anthropology of Ignorance</w:t>
      </w:r>
      <w:r w:rsidRPr="00FB0522">
        <w:rPr>
          <w:rFonts w:cstheme="minorHAnsi"/>
          <w:lang w:val="en-US"/>
        </w:rPr>
        <w:t xml:space="preserve"> (pp. 1-32). Palgrave Macmillan, New York.</w:t>
      </w:r>
    </w:p>
    <w:p w14:paraId="261311E3" w14:textId="77777777" w:rsidR="00333547" w:rsidRPr="00FB0522" w:rsidRDefault="00333547" w:rsidP="006F6279">
      <w:pPr>
        <w:spacing w:after="0" w:line="276" w:lineRule="auto"/>
        <w:rPr>
          <w:rFonts w:cstheme="minorHAnsi"/>
          <w:lang w:val="en-US"/>
        </w:rPr>
      </w:pPr>
      <w:r w:rsidRPr="00FB0522">
        <w:rPr>
          <w:rFonts w:cstheme="minorHAnsi"/>
          <w:lang w:val="en-US"/>
        </w:rPr>
        <w:t xml:space="preserve">Marder, L. (2015). Democracy and practices of ignorance. </w:t>
      </w:r>
      <w:r w:rsidRPr="00FB0522">
        <w:rPr>
          <w:rFonts w:cstheme="minorHAnsi"/>
          <w:i/>
          <w:lang w:val="en-US"/>
        </w:rPr>
        <w:t>Routledge International Handbook of Ignorance Studies</w:t>
      </w:r>
      <w:r w:rsidRPr="00FB0522">
        <w:rPr>
          <w:rFonts w:cstheme="minorHAnsi"/>
          <w:lang w:val="en-US"/>
        </w:rPr>
        <w:t>, 282.</w:t>
      </w:r>
    </w:p>
    <w:p w14:paraId="44A2066F" w14:textId="77777777" w:rsidR="00333547" w:rsidRPr="00FB0522" w:rsidRDefault="00333547" w:rsidP="006F6279">
      <w:pPr>
        <w:spacing w:after="0" w:line="276" w:lineRule="auto"/>
        <w:rPr>
          <w:rFonts w:cstheme="minorHAnsi"/>
          <w:lang w:val="en-US"/>
        </w:rPr>
      </w:pPr>
      <w:proofErr w:type="spellStart"/>
      <w:r w:rsidRPr="00FB0522">
        <w:rPr>
          <w:rFonts w:cstheme="minorHAnsi"/>
          <w:lang w:val="en-US"/>
        </w:rPr>
        <w:t>McGoey</w:t>
      </w:r>
      <w:proofErr w:type="spellEnd"/>
      <w:r w:rsidRPr="00FB0522">
        <w:rPr>
          <w:rFonts w:cstheme="minorHAnsi"/>
          <w:lang w:val="en-US"/>
        </w:rPr>
        <w:t xml:space="preserve">, L. (2012). Strategic unknowns: Towards a sociology of ignorance. </w:t>
      </w:r>
      <w:r w:rsidRPr="00FB0522">
        <w:rPr>
          <w:rFonts w:cstheme="minorHAnsi"/>
          <w:i/>
          <w:lang w:val="en-US"/>
        </w:rPr>
        <w:t>Economy and society</w:t>
      </w:r>
      <w:r w:rsidRPr="00FB0522">
        <w:rPr>
          <w:rFonts w:cstheme="minorHAnsi"/>
          <w:lang w:val="en-US"/>
        </w:rPr>
        <w:t>, 41(1), 1-16.</w:t>
      </w:r>
    </w:p>
    <w:p w14:paraId="16DDA96B" w14:textId="77777777" w:rsidR="00333547" w:rsidRPr="00666ACC" w:rsidRDefault="00333547" w:rsidP="006F6279">
      <w:pPr>
        <w:spacing w:after="0" w:line="276" w:lineRule="auto"/>
        <w:rPr>
          <w:rFonts w:cstheme="minorHAnsi"/>
          <w:color w:val="222222"/>
          <w:shd w:val="clear" w:color="auto" w:fill="FFFFFF"/>
          <w:lang w:val="en-US"/>
        </w:rPr>
      </w:pPr>
      <w:r w:rsidRPr="00666ACC">
        <w:rPr>
          <w:rFonts w:cstheme="minorHAnsi"/>
          <w:color w:val="222222"/>
          <w:shd w:val="clear" w:color="auto" w:fill="FFFFFF"/>
          <w:lang w:val="en-US"/>
        </w:rPr>
        <w:t xml:space="preserve">Michaels, D. (2008). </w:t>
      </w:r>
      <w:r w:rsidRPr="00666ACC">
        <w:rPr>
          <w:rFonts w:cstheme="minorHAnsi"/>
          <w:i/>
          <w:color w:val="222222"/>
          <w:shd w:val="clear" w:color="auto" w:fill="FFFFFF"/>
          <w:lang w:val="en-US"/>
        </w:rPr>
        <w:t>Doubt is their product: how industry's assault on science threatens your health</w:t>
      </w:r>
      <w:r w:rsidRPr="00666ACC">
        <w:rPr>
          <w:rFonts w:cstheme="minorHAnsi"/>
          <w:color w:val="222222"/>
          <w:shd w:val="clear" w:color="auto" w:fill="FFFFFF"/>
          <w:lang w:val="en-US"/>
        </w:rPr>
        <w:t>. Oxford University Press.</w:t>
      </w:r>
    </w:p>
    <w:p w14:paraId="50B92039" w14:textId="77777777" w:rsidR="00333547" w:rsidRPr="00666ACC" w:rsidRDefault="00333547" w:rsidP="006F6279">
      <w:pPr>
        <w:spacing w:after="0" w:line="276" w:lineRule="auto"/>
        <w:rPr>
          <w:rFonts w:cstheme="minorHAnsi"/>
          <w:color w:val="222222"/>
          <w:shd w:val="clear" w:color="auto" w:fill="FFFFFF"/>
          <w:lang w:val="en-US"/>
        </w:rPr>
      </w:pPr>
      <w:r w:rsidRPr="00666ACC">
        <w:rPr>
          <w:rFonts w:cstheme="minorHAnsi"/>
          <w:color w:val="222222"/>
          <w:shd w:val="clear" w:color="auto" w:fill="FFFFFF"/>
          <w:lang w:val="en-US"/>
        </w:rPr>
        <w:t xml:space="preserve">Oreskes, N., &amp; Conway, E. M. (2010). Defeating the merchants of doubt. </w:t>
      </w:r>
      <w:r w:rsidRPr="00666ACC">
        <w:rPr>
          <w:rFonts w:cstheme="minorHAnsi"/>
          <w:i/>
          <w:color w:val="222222"/>
          <w:shd w:val="clear" w:color="auto" w:fill="FFFFFF"/>
          <w:lang w:val="en-US"/>
        </w:rPr>
        <w:t>Nature</w:t>
      </w:r>
      <w:r w:rsidRPr="00666ACC">
        <w:rPr>
          <w:rFonts w:cstheme="minorHAnsi"/>
          <w:color w:val="222222"/>
          <w:shd w:val="clear" w:color="auto" w:fill="FFFFFF"/>
          <w:lang w:val="en-US"/>
        </w:rPr>
        <w:t>, 465(7299), 686.</w:t>
      </w:r>
    </w:p>
    <w:p w14:paraId="691606F1" w14:textId="77777777" w:rsidR="00333547" w:rsidRPr="00FB0522" w:rsidRDefault="00333547" w:rsidP="006F6279">
      <w:pPr>
        <w:spacing w:after="0" w:line="276" w:lineRule="auto"/>
        <w:rPr>
          <w:rFonts w:cstheme="minorHAnsi"/>
          <w:lang w:val="en-US"/>
        </w:rPr>
      </w:pPr>
      <w:r w:rsidRPr="00FB0522">
        <w:rPr>
          <w:rFonts w:cstheme="minorHAnsi"/>
          <w:lang w:val="en-US"/>
        </w:rPr>
        <w:t xml:space="preserve">Proctor, R. (2011). </w:t>
      </w:r>
      <w:r w:rsidRPr="00FB0522">
        <w:rPr>
          <w:rFonts w:cstheme="minorHAnsi"/>
          <w:i/>
          <w:lang w:val="en-US"/>
        </w:rPr>
        <w:t>Golden holocaust: origins of the cigarette catastrophe and the case for abolition</w:t>
      </w:r>
      <w:r w:rsidRPr="00FB0522">
        <w:rPr>
          <w:rFonts w:cstheme="minorHAnsi"/>
          <w:lang w:val="en-US"/>
        </w:rPr>
        <w:t xml:space="preserve">. </w:t>
      </w:r>
      <w:proofErr w:type="spellStart"/>
      <w:r w:rsidRPr="00FB0522">
        <w:rPr>
          <w:rFonts w:cstheme="minorHAnsi"/>
          <w:lang w:val="en-US"/>
        </w:rPr>
        <w:t>Univ</w:t>
      </w:r>
      <w:proofErr w:type="spellEnd"/>
      <w:r w:rsidRPr="00FB0522">
        <w:rPr>
          <w:rFonts w:cstheme="minorHAnsi"/>
          <w:lang w:val="en-US"/>
        </w:rPr>
        <w:t xml:space="preserve"> of California Press.</w:t>
      </w:r>
    </w:p>
    <w:p w14:paraId="01240CB5" w14:textId="3BFEB4CE" w:rsidR="00F45137" w:rsidRPr="00F45137" w:rsidRDefault="00F45137" w:rsidP="006F6279">
      <w:pPr>
        <w:spacing w:after="0"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Scott, J. (1985). </w:t>
      </w:r>
      <w:r w:rsidRPr="00F45137">
        <w:rPr>
          <w:rFonts w:cstheme="minorHAnsi"/>
          <w:i/>
          <w:lang w:val="en-US"/>
        </w:rPr>
        <w:t>Weapons of the Weak: Everyday Forms of Peasant Resistance</w:t>
      </w:r>
      <w:r>
        <w:rPr>
          <w:rFonts w:cstheme="minorHAnsi"/>
          <w:lang w:val="en-US"/>
        </w:rPr>
        <w:t xml:space="preserve">. </w:t>
      </w:r>
      <w:r w:rsidR="00243788">
        <w:rPr>
          <w:rFonts w:cstheme="minorHAnsi"/>
          <w:lang w:val="en-US"/>
        </w:rPr>
        <w:t>Yale</w:t>
      </w:r>
      <w:r>
        <w:rPr>
          <w:rFonts w:cstheme="minorHAnsi"/>
          <w:lang w:val="en-US"/>
        </w:rPr>
        <w:t xml:space="preserve"> </w:t>
      </w:r>
      <w:r w:rsidR="00243788">
        <w:rPr>
          <w:rFonts w:cstheme="minorHAnsi"/>
          <w:lang w:val="en-US"/>
        </w:rPr>
        <w:t xml:space="preserve">University </w:t>
      </w:r>
      <w:r>
        <w:rPr>
          <w:rFonts w:cstheme="minorHAnsi"/>
          <w:lang w:val="en-US"/>
        </w:rPr>
        <w:t>Press.</w:t>
      </w:r>
    </w:p>
    <w:p w14:paraId="0D153C65" w14:textId="5729FEE2" w:rsidR="00333547" w:rsidRPr="00FB0522" w:rsidRDefault="0037196C" w:rsidP="006F6279">
      <w:pPr>
        <w:spacing w:after="0" w:line="276" w:lineRule="auto"/>
        <w:rPr>
          <w:rFonts w:cstheme="minorHAnsi"/>
          <w:lang w:val="en-US"/>
        </w:rPr>
      </w:pPr>
      <w:proofErr w:type="spellStart"/>
      <w:r w:rsidRPr="00FB0522">
        <w:rPr>
          <w:rFonts w:cstheme="minorHAnsi"/>
          <w:lang w:val="en-US"/>
        </w:rPr>
        <w:t>Tuana</w:t>
      </w:r>
      <w:proofErr w:type="spellEnd"/>
      <w:r w:rsidRPr="00FB0522">
        <w:rPr>
          <w:rFonts w:cstheme="minorHAnsi"/>
          <w:lang w:val="en-US"/>
        </w:rPr>
        <w:t xml:space="preserve">, N., &amp; Sullivan, S. (2006). Introduction: Feminist epistemologies of ignorance. </w:t>
      </w:r>
      <w:r w:rsidRPr="00FB0522">
        <w:rPr>
          <w:rFonts w:cstheme="minorHAnsi"/>
          <w:i/>
          <w:lang w:val="en-US"/>
        </w:rPr>
        <w:t>Hypatia</w:t>
      </w:r>
      <w:r w:rsidRPr="00FB0522">
        <w:rPr>
          <w:rFonts w:cstheme="minorHAnsi"/>
          <w:lang w:val="en-US"/>
        </w:rPr>
        <w:t>, 21(3), vii-ix.</w:t>
      </w:r>
    </w:p>
    <w:p w14:paraId="02BAB74D" w14:textId="77777777" w:rsidR="005D06E3" w:rsidRPr="00FB0522" w:rsidRDefault="005D06E3" w:rsidP="006F6279">
      <w:pPr>
        <w:spacing w:after="0" w:line="276" w:lineRule="auto"/>
        <w:rPr>
          <w:rFonts w:cstheme="minorHAnsi"/>
          <w:lang w:val="en-US"/>
        </w:rPr>
      </w:pPr>
      <w:r w:rsidRPr="00666ACC">
        <w:rPr>
          <w:rFonts w:cstheme="minorHAnsi"/>
          <w:color w:val="222222"/>
          <w:shd w:val="clear" w:color="auto" w:fill="FFFFFF"/>
          <w:lang w:val="en-GB"/>
        </w:rPr>
        <w:t>Westwood, R. I., &amp; Jack, G. (2007). Manifesto for a post-colonial international business and management studies: A provocation. </w:t>
      </w:r>
      <w:r w:rsidRPr="00666ACC">
        <w:rPr>
          <w:rFonts w:cstheme="minorHAnsi"/>
          <w:i/>
          <w:iCs/>
          <w:color w:val="222222"/>
          <w:shd w:val="clear" w:color="auto" w:fill="FFFFFF"/>
        </w:rPr>
        <w:t>Critical Perspectives on International Business</w:t>
      </w:r>
      <w:r w:rsidRPr="00666ACC">
        <w:rPr>
          <w:rFonts w:cstheme="minorHAnsi"/>
          <w:color w:val="222222"/>
          <w:shd w:val="clear" w:color="auto" w:fill="FFFFFF"/>
        </w:rPr>
        <w:t>, </w:t>
      </w:r>
      <w:r w:rsidRPr="00666ACC">
        <w:rPr>
          <w:rFonts w:cstheme="minorHAnsi"/>
          <w:i/>
          <w:iCs/>
          <w:color w:val="222222"/>
          <w:shd w:val="clear" w:color="auto" w:fill="FFFFFF"/>
        </w:rPr>
        <w:t>3</w:t>
      </w:r>
      <w:r w:rsidRPr="00666ACC">
        <w:rPr>
          <w:rFonts w:cstheme="minorHAnsi"/>
          <w:color w:val="222222"/>
          <w:shd w:val="clear" w:color="auto" w:fill="FFFFFF"/>
        </w:rPr>
        <w:t>(3), 246-265.</w:t>
      </w:r>
    </w:p>
    <w:sectPr w:rsidR="005D06E3" w:rsidRPr="00FB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13DF0"/>
    <w:multiLevelType w:val="hybridMultilevel"/>
    <w:tmpl w:val="A7FE59F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7585D99"/>
    <w:multiLevelType w:val="hybridMultilevel"/>
    <w:tmpl w:val="2612F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A5033"/>
    <w:multiLevelType w:val="hybridMultilevel"/>
    <w:tmpl w:val="DB40E3E0"/>
    <w:lvl w:ilvl="0" w:tplc="7660BD9E">
      <w:numFmt w:val="bullet"/>
      <w:lvlText w:val="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6F"/>
    <w:rsid w:val="00043972"/>
    <w:rsid w:val="000449F7"/>
    <w:rsid w:val="00087BE5"/>
    <w:rsid w:val="0011174D"/>
    <w:rsid w:val="001549E0"/>
    <w:rsid w:val="0020539A"/>
    <w:rsid w:val="00243788"/>
    <w:rsid w:val="00261713"/>
    <w:rsid w:val="003103CC"/>
    <w:rsid w:val="00333547"/>
    <w:rsid w:val="0037196C"/>
    <w:rsid w:val="003C4A49"/>
    <w:rsid w:val="004115E1"/>
    <w:rsid w:val="0044285B"/>
    <w:rsid w:val="00453154"/>
    <w:rsid w:val="00482DAE"/>
    <w:rsid w:val="00486354"/>
    <w:rsid w:val="00537386"/>
    <w:rsid w:val="005D06E3"/>
    <w:rsid w:val="005E340C"/>
    <w:rsid w:val="00617CAF"/>
    <w:rsid w:val="00620AAB"/>
    <w:rsid w:val="00666ACC"/>
    <w:rsid w:val="006F6279"/>
    <w:rsid w:val="007255EB"/>
    <w:rsid w:val="007A3973"/>
    <w:rsid w:val="00886DA8"/>
    <w:rsid w:val="008C2466"/>
    <w:rsid w:val="00B83AEC"/>
    <w:rsid w:val="00BD5EE5"/>
    <w:rsid w:val="00CC6834"/>
    <w:rsid w:val="00CF3501"/>
    <w:rsid w:val="00D13BE7"/>
    <w:rsid w:val="00D40228"/>
    <w:rsid w:val="00D8056F"/>
    <w:rsid w:val="00EB4241"/>
    <w:rsid w:val="00F45137"/>
    <w:rsid w:val="00FB0522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A652B"/>
  <w15:chartTrackingRefBased/>
  <w15:docId w15:val="{AF4A3E46-EDE1-48AE-81FF-18E17D8C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5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E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6171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C6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os.barros@grenoble-em.com" TargetMode="External"/><Relationship Id="rId5" Type="http://schemas.openxmlformats.org/officeDocument/2006/relationships/hyperlink" Target="mailto:janna.rose@grenoble-e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GEM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BARROS Marcos</dc:creator>
  <cp:keywords/>
  <dc:description/>
  <cp:lastModifiedBy>Caroline Clarke</cp:lastModifiedBy>
  <cp:revision>2</cp:revision>
  <cp:lastPrinted>2018-10-04T13:33:00Z</cp:lastPrinted>
  <dcterms:created xsi:type="dcterms:W3CDTF">2018-10-21T22:26:00Z</dcterms:created>
  <dcterms:modified xsi:type="dcterms:W3CDTF">2018-10-21T22:26:00Z</dcterms:modified>
</cp:coreProperties>
</file>