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B8DA1" w14:textId="77777777" w:rsidR="00E7626E" w:rsidRPr="00A075A7" w:rsidRDefault="00E7626E" w:rsidP="00E7626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075A7">
        <w:rPr>
          <w:b/>
          <w:sz w:val="22"/>
          <w:szCs w:val="22"/>
        </w:rPr>
        <w:t>The 11th International Conference in Critical Management Studies</w:t>
      </w:r>
      <w:r w:rsidRPr="00A075A7">
        <w:rPr>
          <w:b/>
          <w:sz w:val="22"/>
          <w:szCs w:val="22"/>
        </w:rPr>
        <w:br/>
        <w:t>PRECARIOUS PRESENTS, OPEN FUTURES</w:t>
      </w:r>
    </w:p>
    <w:p w14:paraId="05B68B93" w14:textId="77777777" w:rsidR="00637D48" w:rsidRPr="001D43CB" w:rsidRDefault="00637D48" w:rsidP="00637D48">
      <w:pPr>
        <w:rPr>
          <w:sz w:val="22"/>
          <w:szCs w:val="22"/>
        </w:rPr>
      </w:pPr>
    </w:p>
    <w:p w14:paraId="47153F33" w14:textId="77777777" w:rsidR="00637D48" w:rsidRPr="001D43CB" w:rsidRDefault="00637D48" w:rsidP="00637D48">
      <w:pPr>
        <w:rPr>
          <w:sz w:val="22"/>
          <w:szCs w:val="22"/>
        </w:rPr>
      </w:pPr>
      <w:r w:rsidRPr="001D43CB">
        <w:rPr>
          <w:sz w:val="22"/>
          <w:szCs w:val="22"/>
        </w:rPr>
        <w:t>Conference sub-theme proposal:</w:t>
      </w:r>
    </w:p>
    <w:p w14:paraId="1526553B" w14:textId="77777777" w:rsidR="00637D48" w:rsidRPr="001D43CB" w:rsidRDefault="00637D48" w:rsidP="00637D48">
      <w:pPr>
        <w:rPr>
          <w:sz w:val="22"/>
          <w:szCs w:val="22"/>
        </w:rPr>
      </w:pPr>
    </w:p>
    <w:p w14:paraId="7AA079C5" w14:textId="77777777" w:rsidR="00637D48" w:rsidRPr="001950BE" w:rsidRDefault="00637D48" w:rsidP="006E7625">
      <w:pPr>
        <w:jc w:val="center"/>
        <w:rPr>
          <w:b/>
          <w:sz w:val="30"/>
          <w:szCs w:val="30"/>
        </w:rPr>
      </w:pPr>
      <w:r w:rsidRPr="001950BE">
        <w:rPr>
          <w:b/>
          <w:sz w:val="30"/>
          <w:szCs w:val="30"/>
        </w:rPr>
        <w:t>Flexible working arrangements – boundary work or boundless work?</w:t>
      </w:r>
    </w:p>
    <w:p w14:paraId="796C6363" w14:textId="77777777" w:rsidR="00637D48" w:rsidRPr="001D43CB" w:rsidRDefault="00637D48" w:rsidP="00637D48">
      <w:pPr>
        <w:rPr>
          <w:sz w:val="22"/>
          <w:szCs w:val="22"/>
        </w:rPr>
      </w:pPr>
    </w:p>
    <w:p w14:paraId="4E2DD1AA" w14:textId="77777777" w:rsidR="00637D48" w:rsidRPr="001D43CB" w:rsidRDefault="00637D48" w:rsidP="00637D48">
      <w:pPr>
        <w:rPr>
          <w:sz w:val="22"/>
          <w:szCs w:val="22"/>
        </w:rPr>
      </w:pPr>
      <w:r w:rsidRPr="001D43CB">
        <w:rPr>
          <w:sz w:val="22"/>
          <w:szCs w:val="22"/>
        </w:rPr>
        <w:t xml:space="preserve">Stream conveners: </w:t>
      </w:r>
    </w:p>
    <w:p w14:paraId="4ED1349C" w14:textId="77777777" w:rsidR="00637D48" w:rsidRPr="001D43CB" w:rsidRDefault="00637D48" w:rsidP="00637D48">
      <w:pPr>
        <w:rPr>
          <w:sz w:val="22"/>
          <w:szCs w:val="22"/>
        </w:rPr>
      </w:pPr>
      <w:r w:rsidRPr="001D43CB">
        <w:rPr>
          <w:sz w:val="22"/>
          <w:szCs w:val="22"/>
        </w:rPr>
        <w:t>Dr Michal Izak, University of Roehampton</w:t>
      </w:r>
    </w:p>
    <w:p w14:paraId="4ADC13F2" w14:textId="77777777" w:rsidR="00637D48" w:rsidRPr="001D43CB" w:rsidRDefault="00637D48" w:rsidP="00637D48">
      <w:pPr>
        <w:rPr>
          <w:sz w:val="22"/>
          <w:szCs w:val="22"/>
        </w:rPr>
      </w:pPr>
      <w:r w:rsidRPr="001D43CB">
        <w:rPr>
          <w:sz w:val="22"/>
          <w:szCs w:val="22"/>
        </w:rPr>
        <w:t>Dr Stefanie Reissner, University of Newcastle</w:t>
      </w:r>
    </w:p>
    <w:p w14:paraId="77F60B7E" w14:textId="0203544D" w:rsidR="00637D48" w:rsidRPr="001D43CB" w:rsidRDefault="00637D48" w:rsidP="00637D48">
      <w:pPr>
        <w:rPr>
          <w:sz w:val="22"/>
          <w:szCs w:val="22"/>
          <w:lang w:val="nl-NL"/>
        </w:rPr>
      </w:pPr>
      <w:r w:rsidRPr="001D43CB">
        <w:rPr>
          <w:sz w:val="22"/>
          <w:szCs w:val="22"/>
          <w:lang w:val="nl-NL"/>
        </w:rPr>
        <w:t xml:space="preserve">Dr Sytze </w:t>
      </w:r>
      <w:r w:rsidR="00EA08D8" w:rsidRPr="001D43CB">
        <w:rPr>
          <w:sz w:val="22"/>
          <w:szCs w:val="22"/>
          <w:lang w:val="nl-NL"/>
        </w:rPr>
        <w:t xml:space="preserve">F. </w:t>
      </w:r>
      <w:r w:rsidRPr="001D43CB">
        <w:rPr>
          <w:sz w:val="22"/>
          <w:szCs w:val="22"/>
          <w:lang w:val="nl-NL"/>
        </w:rPr>
        <w:t>Kingma, VU Amsterdam</w:t>
      </w:r>
    </w:p>
    <w:p w14:paraId="3523E626" w14:textId="77777777" w:rsidR="00637D48" w:rsidRPr="001D43CB" w:rsidRDefault="00637D48" w:rsidP="00637D48">
      <w:pPr>
        <w:rPr>
          <w:sz w:val="22"/>
          <w:szCs w:val="22"/>
          <w:lang w:val="nl-NL"/>
        </w:rPr>
      </w:pPr>
    </w:p>
    <w:p w14:paraId="3D40FF92" w14:textId="77777777" w:rsidR="00637D48" w:rsidRPr="001D43CB" w:rsidRDefault="00637D48" w:rsidP="00637D48">
      <w:pPr>
        <w:rPr>
          <w:sz w:val="22"/>
          <w:szCs w:val="22"/>
          <w:lang w:val="nl-NL"/>
        </w:rPr>
      </w:pPr>
    </w:p>
    <w:p w14:paraId="01994D9F" w14:textId="65EAECB5" w:rsidR="00637D48" w:rsidRPr="001D43CB" w:rsidRDefault="00637D48" w:rsidP="00637D48">
      <w:pPr>
        <w:jc w:val="both"/>
        <w:rPr>
          <w:sz w:val="22"/>
          <w:szCs w:val="22"/>
        </w:rPr>
      </w:pPr>
      <w:r w:rsidRPr="001D43CB">
        <w:rPr>
          <w:sz w:val="22"/>
          <w:szCs w:val="22"/>
        </w:rPr>
        <w:t xml:space="preserve">The past decades have witnessed an increase </w:t>
      </w:r>
      <w:r w:rsidR="0026442D" w:rsidRPr="001D43CB">
        <w:rPr>
          <w:sz w:val="22"/>
          <w:szCs w:val="22"/>
        </w:rPr>
        <w:t xml:space="preserve">in </w:t>
      </w:r>
      <w:r w:rsidRPr="001D43CB">
        <w:rPr>
          <w:sz w:val="22"/>
          <w:szCs w:val="22"/>
        </w:rPr>
        <w:t>flexible working</w:t>
      </w:r>
      <w:r w:rsidR="00E7626E">
        <w:rPr>
          <w:sz w:val="22"/>
          <w:szCs w:val="22"/>
        </w:rPr>
        <w:t xml:space="preserve"> practices</w:t>
      </w:r>
      <w:r w:rsidRPr="001D43CB">
        <w:rPr>
          <w:sz w:val="22"/>
          <w:szCs w:val="22"/>
        </w:rPr>
        <w:t xml:space="preserve">, </w:t>
      </w:r>
      <w:r w:rsidR="00E7626E">
        <w:rPr>
          <w:sz w:val="22"/>
          <w:szCs w:val="22"/>
        </w:rPr>
        <w:t xml:space="preserve">which have been </w:t>
      </w:r>
      <w:r w:rsidRPr="001D43CB">
        <w:rPr>
          <w:sz w:val="22"/>
          <w:szCs w:val="22"/>
        </w:rPr>
        <w:t xml:space="preserve">largely induced by </w:t>
      </w:r>
      <w:r w:rsidR="00E7626E">
        <w:rPr>
          <w:sz w:val="22"/>
          <w:szCs w:val="22"/>
        </w:rPr>
        <w:t xml:space="preserve">advances in mobile </w:t>
      </w:r>
      <w:r w:rsidRPr="001D43CB">
        <w:rPr>
          <w:sz w:val="22"/>
          <w:szCs w:val="22"/>
        </w:rPr>
        <w:t>information and communication technologies</w:t>
      </w:r>
      <w:r w:rsidR="00E7626E">
        <w:rPr>
          <w:sz w:val="22"/>
          <w:szCs w:val="22"/>
        </w:rPr>
        <w:t>. Flexible working</w:t>
      </w:r>
      <w:r w:rsidR="00E7626E" w:rsidRPr="001D43CB">
        <w:rPr>
          <w:sz w:val="22"/>
          <w:szCs w:val="22"/>
        </w:rPr>
        <w:t xml:space="preserve"> </w:t>
      </w:r>
      <w:r w:rsidRPr="001D43CB">
        <w:rPr>
          <w:sz w:val="22"/>
          <w:szCs w:val="22"/>
        </w:rPr>
        <w:t>involve</w:t>
      </w:r>
      <w:r w:rsidR="00E7626E">
        <w:rPr>
          <w:sz w:val="22"/>
          <w:szCs w:val="22"/>
        </w:rPr>
        <w:t>s</w:t>
      </w:r>
      <w:r w:rsidRPr="001D43CB">
        <w:rPr>
          <w:sz w:val="22"/>
          <w:szCs w:val="22"/>
        </w:rPr>
        <w:t xml:space="preserve"> the reshaping of traditional modes of </w:t>
      </w:r>
      <w:r w:rsidR="00DE4EB6" w:rsidRPr="001D43CB">
        <w:rPr>
          <w:sz w:val="22"/>
          <w:szCs w:val="22"/>
        </w:rPr>
        <w:t>work</w:t>
      </w:r>
      <w:r w:rsidR="00E7626E">
        <w:rPr>
          <w:sz w:val="22"/>
          <w:szCs w:val="22"/>
        </w:rPr>
        <w:t>ing</w:t>
      </w:r>
      <w:r w:rsidRPr="001D43CB">
        <w:rPr>
          <w:sz w:val="22"/>
          <w:szCs w:val="22"/>
        </w:rPr>
        <w:t xml:space="preserve"> and include a re-arrangement of, and re-orientation on, (spatiotemporal) boundaries (Fleming and Spicer</w:t>
      </w:r>
      <w:r w:rsidR="002235E4">
        <w:rPr>
          <w:sz w:val="22"/>
          <w:szCs w:val="22"/>
        </w:rPr>
        <w:t>,</w:t>
      </w:r>
      <w:r w:rsidRPr="001D43CB">
        <w:rPr>
          <w:sz w:val="22"/>
          <w:szCs w:val="22"/>
        </w:rPr>
        <w:t xml:space="preserve"> 2004). Recently, the predominance</w:t>
      </w:r>
      <w:r w:rsidR="00E7626E">
        <w:rPr>
          <w:sz w:val="22"/>
          <w:szCs w:val="22"/>
        </w:rPr>
        <w:t xml:space="preserve"> -</w:t>
      </w:r>
      <w:r w:rsidR="001950BE">
        <w:rPr>
          <w:sz w:val="22"/>
          <w:szCs w:val="22"/>
        </w:rPr>
        <w:t xml:space="preserve"> </w:t>
      </w:r>
      <w:r w:rsidR="00E7626E">
        <w:rPr>
          <w:sz w:val="22"/>
          <w:szCs w:val="22"/>
        </w:rPr>
        <w:t>and at times extremes -</w:t>
      </w:r>
      <w:r w:rsidRPr="001D43CB">
        <w:rPr>
          <w:sz w:val="22"/>
          <w:szCs w:val="22"/>
        </w:rPr>
        <w:t xml:space="preserve"> </w:t>
      </w:r>
      <w:r w:rsidR="004D6AB6" w:rsidRPr="001D43CB">
        <w:rPr>
          <w:sz w:val="22"/>
          <w:szCs w:val="22"/>
        </w:rPr>
        <w:t xml:space="preserve">of </w:t>
      </w:r>
      <w:r w:rsidR="004D39AE" w:rsidRPr="001D43CB">
        <w:rPr>
          <w:sz w:val="22"/>
          <w:szCs w:val="22"/>
        </w:rPr>
        <w:t>flexible working</w:t>
      </w:r>
      <w:r w:rsidRPr="001D43CB">
        <w:rPr>
          <w:sz w:val="22"/>
          <w:szCs w:val="22"/>
        </w:rPr>
        <w:t xml:space="preserve"> ha</w:t>
      </w:r>
      <w:r w:rsidR="00E7626E">
        <w:rPr>
          <w:sz w:val="22"/>
          <w:szCs w:val="22"/>
        </w:rPr>
        <w:t>s</w:t>
      </w:r>
      <w:r w:rsidRPr="001D43CB">
        <w:rPr>
          <w:sz w:val="22"/>
          <w:szCs w:val="22"/>
        </w:rPr>
        <w:t xml:space="preserve"> triggered backlash. Examples of direct intervention</w:t>
      </w:r>
      <w:r w:rsidR="00E7626E">
        <w:rPr>
          <w:sz w:val="22"/>
          <w:szCs w:val="22"/>
        </w:rPr>
        <w:t>s</w:t>
      </w:r>
      <w:r w:rsidRPr="001D43CB">
        <w:rPr>
          <w:sz w:val="22"/>
          <w:szCs w:val="22"/>
        </w:rPr>
        <w:t xml:space="preserve"> include the French law </w:t>
      </w:r>
      <w:r w:rsidR="009757DD">
        <w:rPr>
          <w:sz w:val="22"/>
          <w:szCs w:val="22"/>
        </w:rPr>
        <w:t xml:space="preserve">enabling staff </w:t>
      </w:r>
      <w:r w:rsidRPr="001D43CB">
        <w:rPr>
          <w:sz w:val="22"/>
          <w:szCs w:val="22"/>
        </w:rPr>
        <w:t xml:space="preserve">to be offline after </w:t>
      </w:r>
      <w:r w:rsidR="00E7626E">
        <w:rPr>
          <w:sz w:val="22"/>
          <w:szCs w:val="22"/>
        </w:rPr>
        <w:t xml:space="preserve">official </w:t>
      </w:r>
      <w:r w:rsidRPr="001D43CB">
        <w:rPr>
          <w:sz w:val="22"/>
          <w:szCs w:val="22"/>
        </w:rPr>
        <w:t>work</w:t>
      </w:r>
      <w:r w:rsidR="00E7626E">
        <w:rPr>
          <w:sz w:val="22"/>
          <w:szCs w:val="22"/>
        </w:rPr>
        <w:t>ing</w:t>
      </w:r>
      <w:r w:rsidRPr="001D43CB">
        <w:rPr>
          <w:sz w:val="22"/>
          <w:szCs w:val="22"/>
        </w:rPr>
        <w:t xml:space="preserve"> hours and obliging employers to negotiate work-life balance </w:t>
      </w:r>
      <w:r w:rsidR="002235E4">
        <w:rPr>
          <w:sz w:val="22"/>
          <w:szCs w:val="22"/>
        </w:rPr>
        <w:t>or</w:t>
      </w:r>
      <w:r w:rsidRPr="001D43CB">
        <w:rPr>
          <w:sz w:val="22"/>
          <w:szCs w:val="22"/>
        </w:rPr>
        <w:t xml:space="preserve"> the explicit restricti</w:t>
      </w:r>
      <w:r w:rsidR="001D0138">
        <w:rPr>
          <w:sz w:val="22"/>
          <w:szCs w:val="22"/>
        </w:rPr>
        <w:t>ons of flexible work</w:t>
      </w:r>
      <w:r w:rsidR="00E7626E">
        <w:rPr>
          <w:sz w:val="22"/>
          <w:szCs w:val="22"/>
        </w:rPr>
        <w:t>ing</w:t>
      </w:r>
      <w:r w:rsidR="001D0138">
        <w:rPr>
          <w:sz w:val="22"/>
          <w:szCs w:val="22"/>
        </w:rPr>
        <w:t xml:space="preserve"> practices</w:t>
      </w:r>
      <w:r w:rsidR="009757DD">
        <w:rPr>
          <w:sz w:val="22"/>
          <w:szCs w:val="22"/>
        </w:rPr>
        <w:t xml:space="preserve"> put in place</w:t>
      </w:r>
      <w:r w:rsidRPr="001D43CB">
        <w:rPr>
          <w:sz w:val="22"/>
          <w:szCs w:val="22"/>
        </w:rPr>
        <w:t xml:space="preserve"> by companies such as BMW and Yahoo (</w:t>
      </w:r>
      <w:proofErr w:type="spellStart"/>
      <w:r w:rsidRPr="001D43CB">
        <w:rPr>
          <w:sz w:val="22"/>
          <w:szCs w:val="22"/>
        </w:rPr>
        <w:t>Boell</w:t>
      </w:r>
      <w:proofErr w:type="spellEnd"/>
      <w:r w:rsidR="004D6AB6" w:rsidRPr="001D43CB">
        <w:rPr>
          <w:sz w:val="22"/>
          <w:szCs w:val="22"/>
        </w:rPr>
        <w:t xml:space="preserve"> et al.</w:t>
      </w:r>
      <w:r w:rsidR="002235E4">
        <w:rPr>
          <w:sz w:val="22"/>
          <w:szCs w:val="22"/>
        </w:rPr>
        <w:t>,</w:t>
      </w:r>
      <w:r w:rsidRPr="001D43CB">
        <w:rPr>
          <w:sz w:val="22"/>
          <w:szCs w:val="22"/>
        </w:rPr>
        <w:t xml:space="preserve"> 2016). </w:t>
      </w:r>
      <w:r w:rsidR="002235E4">
        <w:rPr>
          <w:sz w:val="22"/>
          <w:szCs w:val="22"/>
        </w:rPr>
        <w:t>As such, the risk of flexible working becoming ‘boundless’ is increasingly being recognized and addressed.</w:t>
      </w:r>
    </w:p>
    <w:p w14:paraId="20C3A752" w14:textId="77777777" w:rsidR="0026442D" w:rsidRPr="001D43CB" w:rsidRDefault="0026442D" w:rsidP="00637D48">
      <w:pPr>
        <w:jc w:val="both"/>
        <w:rPr>
          <w:sz w:val="22"/>
          <w:szCs w:val="22"/>
        </w:rPr>
      </w:pPr>
    </w:p>
    <w:p w14:paraId="47BD9D43" w14:textId="75E04541" w:rsidR="00637D48" w:rsidRPr="001D43CB" w:rsidRDefault="001950BE" w:rsidP="00637D48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2235E4" w:rsidRPr="001D43CB">
        <w:rPr>
          <w:sz w:val="22"/>
          <w:szCs w:val="22"/>
        </w:rPr>
        <w:t xml:space="preserve">he </w:t>
      </w:r>
      <w:r w:rsidR="00637D48" w:rsidRPr="001D43CB">
        <w:rPr>
          <w:sz w:val="22"/>
          <w:szCs w:val="22"/>
        </w:rPr>
        <w:t>spatiotemporal flexibilization of work has potentially significant impact on individuals’ boundary work</w:t>
      </w:r>
      <w:r w:rsidR="002235E4">
        <w:rPr>
          <w:sz w:val="22"/>
          <w:szCs w:val="22"/>
        </w:rPr>
        <w:t xml:space="preserve"> (Kingma et al., 2018)</w:t>
      </w:r>
      <w:r w:rsidR="00637D48" w:rsidRPr="001D43CB">
        <w:rPr>
          <w:sz w:val="22"/>
          <w:szCs w:val="22"/>
        </w:rPr>
        <w:t xml:space="preserve">. Between the classic modes of arranging work physically, behaviorally and conceptually </w:t>
      </w:r>
      <w:r w:rsidR="004D6AB6" w:rsidRPr="001D43CB">
        <w:rPr>
          <w:sz w:val="22"/>
          <w:szCs w:val="22"/>
        </w:rPr>
        <w:t>by</w:t>
      </w:r>
      <w:r w:rsidR="00637D48" w:rsidRPr="001D43CB">
        <w:rPr>
          <w:sz w:val="22"/>
          <w:szCs w:val="22"/>
        </w:rPr>
        <w:t xml:space="preserve"> integrating or segmenting work and nonwork (</w:t>
      </w:r>
      <w:proofErr w:type="spellStart"/>
      <w:r w:rsidR="00637D48" w:rsidRPr="001D43CB">
        <w:rPr>
          <w:sz w:val="22"/>
          <w:szCs w:val="22"/>
        </w:rPr>
        <w:t>Nippert-Eng</w:t>
      </w:r>
      <w:proofErr w:type="spellEnd"/>
      <w:r w:rsidR="00637D48" w:rsidRPr="001D43CB">
        <w:rPr>
          <w:sz w:val="22"/>
          <w:szCs w:val="22"/>
        </w:rPr>
        <w:t xml:space="preserve">, 1996) lies </w:t>
      </w:r>
      <w:r w:rsidR="0026442D" w:rsidRPr="001D43CB">
        <w:rPr>
          <w:sz w:val="22"/>
          <w:szCs w:val="22"/>
        </w:rPr>
        <w:t xml:space="preserve">an </w:t>
      </w:r>
      <w:r w:rsidR="00637D48" w:rsidRPr="001D43CB">
        <w:rPr>
          <w:sz w:val="22"/>
          <w:szCs w:val="22"/>
        </w:rPr>
        <w:t>ever-expanding swathe of hybrid boundary management strategies (</w:t>
      </w:r>
      <w:proofErr w:type="spellStart"/>
      <w:r w:rsidR="00637D48" w:rsidRPr="001D43CB">
        <w:rPr>
          <w:sz w:val="22"/>
          <w:szCs w:val="22"/>
        </w:rPr>
        <w:t>eg</w:t>
      </w:r>
      <w:proofErr w:type="spellEnd"/>
      <w:r w:rsidR="00637D48" w:rsidRPr="001D43CB">
        <w:rPr>
          <w:sz w:val="22"/>
          <w:szCs w:val="22"/>
        </w:rPr>
        <w:t xml:space="preserve"> </w:t>
      </w:r>
      <w:proofErr w:type="spellStart"/>
      <w:r w:rsidR="00637D48" w:rsidRPr="001D43CB">
        <w:rPr>
          <w:sz w:val="22"/>
          <w:szCs w:val="22"/>
        </w:rPr>
        <w:t>Koslowski</w:t>
      </w:r>
      <w:proofErr w:type="spellEnd"/>
      <w:r w:rsidR="0026442D" w:rsidRPr="001D43CB">
        <w:rPr>
          <w:sz w:val="22"/>
          <w:szCs w:val="22"/>
        </w:rPr>
        <w:t xml:space="preserve"> et al.</w:t>
      </w:r>
      <w:r w:rsidR="002235E4">
        <w:rPr>
          <w:sz w:val="22"/>
          <w:szCs w:val="22"/>
        </w:rPr>
        <w:t>,</w:t>
      </w:r>
      <w:r w:rsidR="00637D48" w:rsidRPr="001D43CB">
        <w:rPr>
          <w:sz w:val="22"/>
          <w:szCs w:val="22"/>
        </w:rPr>
        <w:t xml:space="preserve"> 2017). In the technology-driven ‘new age of organization and management’, new forms of teamwork and cooperation emerge, virtual organizations blossom</w:t>
      </w:r>
      <w:r w:rsidR="00E7626E">
        <w:rPr>
          <w:sz w:val="22"/>
          <w:szCs w:val="22"/>
        </w:rPr>
        <w:t>,</w:t>
      </w:r>
      <w:r w:rsidR="00637D48" w:rsidRPr="001D43CB">
        <w:rPr>
          <w:sz w:val="22"/>
          <w:szCs w:val="22"/>
        </w:rPr>
        <w:t xml:space="preserve"> and contingent employment is intensified. As the global population becomes more mobile</w:t>
      </w:r>
      <w:r w:rsidR="00E7626E">
        <w:rPr>
          <w:sz w:val="22"/>
          <w:szCs w:val="22"/>
        </w:rPr>
        <w:t>,</w:t>
      </w:r>
      <w:r w:rsidR="00637D48" w:rsidRPr="001D43CB">
        <w:rPr>
          <w:sz w:val="22"/>
          <w:szCs w:val="22"/>
        </w:rPr>
        <w:t xml:space="preserve"> the once firm association between a place of work and its content becomes problematized. </w:t>
      </w:r>
      <w:r w:rsidR="002235E4">
        <w:rPr>
          <w:sz w:val="22"/>
          <w:szCs w:val="22"/>
        </w:rPr>
        <w:t>F</w:t>
      </w:r>
      <w:r w:rsidR="002235E4" w:rsidRPr="001D43CB">
        <w:rPr>
          <w:sz w:val="22"/>
          <w:szCs w:val="22"/>
        </w:rPr>
        <w:t xml:space="preserve">or many employees </w:t>
      </w:r>
      <w:r w:rsidR="002235E4">
        <w:rPr>
          <w:sz w:val="22"/>
          <w:szCs w:val="22"/>
        </w:rPr>
        <w:t>b</w:t>
      </w:r>
      <w:r w:rsidR="002235E4" w:rsidRPr="001D43CB">
        <w:rPr>
          <w:sz w:val="22"/>
          <w:szCs w:val="22"/>
        </w:rPr>
        <w:t xml:space="preserve">ecoming </w:t>
      </w:r>
      <w:r w:rsidR="00637D48" w:rsidRPr="001D43CB">
        <w:rPr>
          <w:sz w:val="22"/>
          <w:szCs w:val="22"/>
        </w:rPr>
        <w:t xml:space="preserve">physically mobile </w:t>
      </w:r>
      <w:r w:rsidR="004D6AB6" w:rsidRPr="001D43CB">
        <w:rPr>
          <w:sz w:val="22"/>
          <w:szCs w:val="22"/>
        </w:rPr>
        <w:t>involves</w:t>
      </w:r>
      <w:r w:rsidR="00637D48" w:rsidRPr="001D43CB">
        <w:rPr>
          <w:sz w:val="22"/>
          <w:szCs w:val="22"/>
        </w:rPr>
        <w:t xml:space="preserve"> reorienting their spatial and temporal attachments towards working at different times and in multiple spaces across a wo</w:t>
      </w:r>
      <w:r w:rsidR="005909BD" w:rsidRPr="001D43CB">
        <w:rPr>
          <w:sz w:val="22"/>
          <w:szCs w:val="22"/>
        </w:rPr>
        <w:t>rking day or week (</w:t>
      </w:r>
      <w:r w:rsidR="00637D48" w:rsidRPr="001D43CB">
        <w:rPr>
          <w:sz w:val="22"/>
          <w:szCs w:val="22"/>
        </w:rPr>
        <w:t>Duxbury et al., 2014)</w:t>
      </w:r>
      <w:r w:rsidR="004D6AB6" w:rsidRPr="001D43CB">
        <w:rPr>
          <w:sz w:val="22"/>
          <w:szCs w:val="22"/>
        </w:rPr>
        <w:t>, including</w:t>
      </w:r>
      <w:r w:rsidR="00637D48" w:rsidRPr="001D43CB">
        <w:rPr>
          <w:sz w:val="22"/>
          <w:szCs w:val="22"/>
        </w:rPr>
        <w:t xml:space="preserve"> ‘teleworking’ (Sewell and Taskin</w:t>
      </w:r>
      <w:r w:rsidR="002235E4">
        <w:rPr>
          <w:sz w:val="22"/>
          <w:szCs w:val="22"/>
        </w:rPr>
        <w:t>,</w:t>
      </w:r>
      <w:r w:rsidR="00637D48" w:rsidRPr="001D43CB">
        <w:rPr>
          <w:sz w:val="22"/>
          <w:szCs w:val="22"/>
        </w:rPr>
        <w:t xml:space="preserve"> 2015;</w:t>
      </w:r>
      <w:r w:rsidR="005909BD" w:rsidRPr="001D43CB">
        <w:rPr>
          <w:sz w:val="22"/>
          <w:szCs w:val="22"/>
        </w:rPr>
        <w:t xml:space="preserve">), </w:t>
      </w:r>
      <w:r w:rsidR="00637D48" w:rsidRPr="001D43CB">
        <w:rPr>
          <w:sz w:val="22"/>
          <w:szCs w:val="22"/>
        </w:rPr>
        <w:t>‘hot desking’, ‘co-working’ or ‘nomadic working’ (Hirst</w:t>
      </w:r>
      <w:r w:rsidR="002235E4">
        <w:rPr>
          <w:sz w:val="22"/>
          <w:szCs w:val="22"/>
        </w:rPr>
        <w:t>,</w:t>
      </w:r>
      <w:r w:rsidR="00637D48" w:rsidRPr="001D43CB">
        <w:rPr>
          <w:sz w:val="22"/>
          <w:szCs w:val="22"/>
        </w:rPr>
        <w:t xml:space="preserve"> 2011) as well as ‘mobile working’ </w:t>
      </w:r>
      <w:r w:rsidR="001E243E" w:rsidRPr="001D43CB">
        <w:rPr>
          <w:sz w:val="22"/>
          <w:szCs w:val="22"/>
        </w:rPr>
        <w:t xml:space="preserve">in a variety of locations </w:t>
      </w:r>
      <w:r w:rsidR="00637D48" w:rsidRPr="001D43CB">
        <w:rPr>
          <w:sz w:val="22"/>
          <w:szCs w:val="22"/>
        </w:rPr>
        <w:t>(i.e. ‘third space’) (</w:t>
      </w:r>
      <w:r w:rsidR="00466CB3" w:rsidRPr="001D43CB">
        <w:rPr>
          <w:sz w:val="22"/>
          <w:szCs w:val="22"/>
        </w:rPr>
        <w:t>Kingma</w:t>
      </w:r>
      <w:r w:rsidR="002235E4">
        <w:rPr>
          <w:sz w:val="22"/>
          <w:szCs w:val="22"/>
        </w:rPr>
        <w:t>,</w:t>
      </w:r>
      <w:r w:rsidR="00466CB3" w:rsidRPr="001D43CB">
        <w:rPr>
          <w:sz w:val="22"/>
          <w:szCs w:val="22"/>
        </w:rPr>
        <w:t xml:space="preserve"> 2016)</w:t>
      </w:r>
      <w:r w:rsidR="00637D48" w:rsidRPr="001D43CB">
        <w:rPr>
          <w:sz w:val="22"/>
          <w:szCs w:val="22"/>
        </w:rPr>
        <w:t>. Consequently, the concept of work itself, decoupled from time and space (</w:t>
      </w:r>
      <w:proofErr w:type="spellStart"/>
      <w:r w:rsidR="00637D48" w:rsidRPr="001D43CB">
        <w:rPr>
          <w:sz w:val="22"/>
          <w:szCs w:val="22"/>
        </w:rPr>
        <w:t>Gajendran</w:t>
      </w:r>
      <w:proofErr w:type="spellEnd"/>
      <w:r w:rsidR="00637D48" w:rsidRPr="001D43CB">
        <w:rPr>
          <w:sz w:val="22"/>
          <w:szCs w:val="22"/>
        </w:rPr>
        <w:t xml:space="preserve"> and Harrison, 2007), becomes increasingly malleable and ‘liquid’ (Bauman, 2000). </w:t>
      </w:r>
    </w:p>
    <w:p w14:paraId="62E7AD52" w14:textId="77777777" w:rsidR="0026442D" w:rsidRPr="001D43CB" w:rsidRDefault="0026442D" w:rsidP="00637D48">
      <w:pPr>
        <w:jc w:val="both"/>
        <w:rPr>
          <w:sz w:val="22"/>
          <w:szCs w:val="22"/>
        </w:rPr>
      </w:pPr>
    </w:p>
    <w:p w14:paraId="5046E888" w14:textId="3CCC5559" w:rsidR="00637D48" w:rsidRPr="001D43CB" w:rsidRDefault="002235E4" w:rsidP="00637D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82E8D">
        <w:rPr>
          <w:sz w:val="22"/>
          <w:szCs w:val="22"/>
        </w:rPr>
        <w:t xml:space="preserve">possible </w:t>
      </w:r>
      <w:r>
        <w:rPr>
          <w:sz w:val="22"/>
          <w:szCs w:val="22"/>
        </w:rPr>
        <w:t xml:space="preserve">effects on life-work balance are significant </w:t>
      </w:r>
      <w:r w:rsidR="00637D48" w:rsidRPr="001D43CB">
        <w:rPr>
          <w:sz w:val="22"/>
          <w:szCs w:val="22"/>
        </w:rPr>
        <w:t>(</w:t>
      </w:r>
      <w:proofErr w:type="spellStart"/>
      <w:r w:rsidR="00637D48" w:rsidRPr="001D43CB">
        <w:rPr>
          <w:sz w:val="22"/>
          <w:szCs w:val="22"/>
        </w:rPr>
        <w:t>Villadsen</w:t>
      </w:r>
      <w:proofErr w:type="spellEnd"/>
      <w:r>
        <w:rPr>
          <w:sz w:val="22"/>
          <w:szCs w:val="22"/>
        </w:rPr>
        <w:t>,</w:t>
      </w:r>
      <w:r w:rsidR="00637D48" w:rsidRPr="001D43CB">
        <w:rPr>
          <w:sz w:val="22"/>
          <w:szCs w:val="22"/>
        </w:rPr>
        <w:t xml:space="preserve"> 2017). As traditional boundaries</w:t>
      </w:r>
      <w:r>
        <w:rPr>
          <w:sz w:val="22"/>
          <w:szCs w:val="22"/>
        </w:rPr>
        <w:t xml:space="preserve"> between work and nonwork</w:t>
      </w:r>
      <w:r w:rsidR="00637D48" w:rsidRPr="001D43CB">
        <w:rPr>
          <w:sz w:val="22"/>
          <w:szCs w:val="22"/>
        </w:rPr>
        <w:t xml:space="preserve"> erode and blur, individuals striving to preserve </w:t>
      </w:r>
      <w:r w:rsidR="0026442D" w:rsidRPr="001D43CB">
        <w:rPr>
          <w:sz w:val="22"/>
          <w:szCs w:val="22"/>
        </w:rPr>
        <w:t>a</w:t>
      </w:r>
      <w:r w:rsidR="00637D48" w:rsidRPr="001D43CB">
        <w:rPr>
          <w:sz w:val="22"/>
          <w:szCs w:val="22"/>
        </w:rPr>
        <w:t xml:space="preserve"> distinction between work and private life employ a variety of techniques focused on time (Tietze and Musson, 2003), technology (Nansen et al., 2010) as well as </w:t>
      </w:r>
      <w:r>
        <w:rPr>
          <w:sz w:val="22"/>
          <w:szCs w:val="22"/>
        </w:rPr>
        <w:t xml:space="preserve">the </w:t>
      </w:r>
      <w:r w:rsidR="00637D48" w:rsidRPr="001D43CB">
        <w:rPr>
          <w:sz w:val="22"/>
          <w:szCs w:val="22"/>
        </w:rPr>
        <w:t>space</w:t>
      </w:r>
      <w:r>
        <w:rPr>
          <w:sz w:val="22"/>
          <w:szCs w:val="22"/>
        </w:rPr>
        <w:t>s</w:t>
      </w:r>
      <w:r w:rsidR="00637D48" w:rsidRPr="001D43CB">
        <w:rPr>
          <w:sz w:val="22"/>
          <w:szCs w:val="22"/>
        </w:rPr>
        <w:t xml:space="preserve"> and objects in it (Fonner and Stache, 2012). Yet, the perception of being in control of one’s time, space or technology </w:t>
      </w:r>
      <w:r>
        <w:rPr>
          <w:sz w:val="22"/>
          <w:szCs w:val="22"/>
        </w:rPr>
        <w:t>does</w:t>
      </w:r>
      <w:r w:rsidRPr="001D43CB">
        <w:rPr>
          <w:sz w:val="22"/>
          <w:szCs w:val="22"/>
        </w:rPr>
        <w:t xml:space="preserve"> </w:t>
      </w:r>
      <w:r w:rsidR="00637D48" w:rsidRPr="001D43CB">
        <w:rPr>
          <w:sz w:val="22"/>
          <w:szCs w:val="22"/>
        </w:rPr>
        <w:t xml:space="preserve">not </w:t>
      </w:r>
      <w:r>
        <w:rPr>
          <w:sz w:val="22"/>
          <w:szCs w:val="22"/>
        </w:rPr>
        <w:t xml:space="preserve">necessarily </w:t>
      </w:r>
      <w:r w:rsidR="00637D48" w:rsidRPr="001D43CB">
        <w:rPr>
          <w:sz w:val="22"/>
          <w:szCs w:val="22"/>
        </w:rPr>
        <w:t xml:space="preserve">curb </w:t>
      </w:r>
      <w:r>
        <w:rPr>
          <w:sz w:val="22"/>
          <w:szCs w:val="22"/>
        </w:rPr>
        <w:t>the</w:t>
      </w:r>
      <w:r w:rsidRPr="001D43CB">
        <w:rPr>
          <w:sz w:val="22"/>
          <w:szCs w:val="22"/>
        </w:rPr>
        <w:t xml:space="preserve"> </w:t>
      </w:r>
      <w:r w:rsidR="00637D48" w:rsidRPr="001D43CB">
        <w:rPr>
          <w:sz w:val="22"/>
          <w:szCs w:val="22"/>
        </w:rPr>
        <w:t xml:space="preserve">overflow between work and nonwork (Izak and Reissner, forthcoming). </w:t>
      </w:r>
      <w:r w:rsidR="004D6AB6" w:rsidRPr="001D43CB">
        <w:rPr>
          <w:sz w:val="22"/>
          <w:szCs w:val="22"/>
        </w:rPr>
        <w:t>F</w:t>
      </w:r>
      <w:r w:rsidR="00637D48" w:rsidRPr="001D43CB">
        <w:rPr>
          <w:sz w:val="22"/>
          <w:szCs w:val="22"/>
        </w:rPr>
        <w:t xml:space="preserve">requently </w:t>
      </w:r>
      <w:r w:rsidR="004D6AB6" w:rsidRPr="001D43CB">
        <w:rPr>
          <w:sz w:val="22"/>
          <w:szCs w:val="22"/>
        </w:rPr>
        <w:t>mobile</w:t>
      </w:r>
      <w:r w:rsidR="00637D48" w:rsidRPr="001D43CB">
        <w:rPr>
          <w:sz w:val="22"/>
          <w:szCs w:val="22"/>
        </w:rPr>
        <w:t xml:space="preserve"> communication devices </w:t>
      </w:r>
      <w:r>
        <w:rPr>
          <w:sz w:val="22"/>
          <w:szCs w:val="22"/>
        </w:rPr>
        <w:t>foster</w:t>
      </w:r>
      <w:r w:rsidR="00637D48" w:rsidRPr="001D43CB">
        <w:rPr>
          <w:sz w:val="22"/>
          <w:szCs w:val="22"/>
        </w:rPr>
        <w:t xml:space="preserve"> contagion between </w:t>
      </w:r>
      <w:r w:rsidR="004D6AB6" w:rsidRPr="001D43CB">
        <w:rPr>
          <w:sz w:val="22"/>
          <w:szCs w:val="22"/>
        </w:rPr>
        <w:t xml:space="preserve">these </w:t>
      </w:r>
      <w:r w:rsidR="00637D48" w:rsidRPr="001D43CB">
        <w:rPr>
          <w:sz w:val="22"/>
          <w:szCs w:val="22"/>
        </w:rPr>
        <w:t>domains (Reissner</w:t>
      </w:r>
      <w:r w:rsidR="0026442D" w:rsidRPr="001D43CB">
        <w:rPr>
          <w:sz w:val="22"/>
          <w:szCs w:val="22"/>
        </w:rPr>
        <w:t xml:space="preserve"> et al.</w:t>
      </w:r>
      <w:r w:rsidR="00637D48" w:rsidRPr="001D43CB">
        <w:rPr>
          <w:sz w:val="22"/>
          <w:szCs w:val="22"/>
        </w:rPr>
        <w:t>, forthcoming)</w:t>
      </w:r>
      <w:r>
        <w:rPr>
          <w:sz w:val="22"/>
          <w:szCs w:val="22"/>
        </w:rPr>
        <w:t xml:space="preserve"> as</w:t>
      </w:r>
      <w:r w:rsidR="00637D48" w:rsidRPr="001D43CB">
        <w:rPr>
          <w:sz w:val="22"/>
          <w:szCs w:val="22"/>
        </w:rPr>
        <w:t xml:space="preserve"> employees who have more autonomy may, paradoxically, be inclined to work harder or longer hours (Evans et al., 2004</w:t>
      </w:r>
      <w:r w:rsidR="00C31CF2" w:rsidRPr="001D43CB">
        <w:rPr>
          <w:sz w:val="22"/>
          <w:szCs w:val="22"/>
        </w:rPr>
        <w:t xml:space="preserve">; </w:t>
      </w:r>
      <w:proofErr w:type="spellStart"/>
      <w:r w:rsidR="00C31CF2" w:rsidRPr="001D43CB">
        <w:rPr>
          <w:sz w:val="22"/>
          <w:szCs w:val="22"/>
        </w:rPr>
        <w:t>Kelliher</w:t>
      </w:r>
      <w:proofErr w:type="spellEnd"/>
      <w:r w:rsidR="00C31CF2" w:rsidRPr="001D43CB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Pr="001D43CB">
        <w:rPr>
          <w:sz w:val="22"/>
          <w:szCs w:val="22"/>
        </w:rPr>
        <w:t xml:space="preserve"> </w:t>
      </w:r>
      <w:r w:rsidR="00C31CF2" w:rsidRPr="001D43CB">
        <w:rPr>
          <w:sz w:val="22"/>
          <w:szCs w:val="22"/>
        </w:rPr>
        <w:t>Anderson, 2010</w:t>
      </w:r>
      <w:r w:rsidR="00637D48" w:rsidRPr="001D43CB">
        <w:rPr>
          <w:sz w:val="22"/>
          <w:szCs w:val="22"/>
        </w:rPr>
        <w:t>).</w:t>
      </w:r>
      <w:r w:rsidR="008B1156" w:rsidRPr="001D43CB">
        <w:rPr>
          <w:sz w:val="22"/>
          <w:szCs w:val="22"/>
        </w:rPr>
        <w:t xml:space="preserve"> </w:t>
      </w:r>
    </w:p>
    <w:p w14:paraId="4B539767" w14:textId="77777777" w:rsidR="00637D48" w:rsidRPr="001D43CB" w:rsidRDefault="00637D48" w:rsidP="00637D48">
      <w:pPr>
        <w:jc w:val="both"/>
        <w:rPr>
          <w:sz w:val="22"/>
          <w:szCs w:val="22"/>
        </w:rPr>
      </w:pPr>
    </w:p>
    <w:p w14:paraId="60E416C5" w14:textId="09F71D7F" w:rsidR="00637D48" w:rsidRPr="001D43CB" w:rsidRDefault="00637D48" w:rsidP="00637D48">
      <w:pPr>
        <w:jc w:val="both"/>
        <w:rPr>
          <w:sz w:val="22"/>
          <w:szCs w:val="22"/>
        </w:rPr>
      </w:pPr>
      <w:r w:rsidRPr="001D43CB">
        <w:rPr>
          <w:sz w:val="22"/>
          <w:szCs w:val="22"/>
        </w:rPr>
        <w:t xml:space="preserve">In the spirit of </w:t>
      </w:r>
      <w:r w:rsidR="002235E4">
        <w:rPr>
          <w:sz w:val="22"/>
          <w:szCs w:val="22"/>
        </w:rPr>
        <w:t xml:space="preserve">exploring organizational futures, </w:t>
      </w:r>
      <w:r w:rsidRPr="001D43CB">
        <w:rPr>
          <w:sz w:val="22"/>
          <w:szCs w:val="22"/>
        </w:rPr>
        <w:t xml:space="preserve">we </w:t>
      </w:r>
      <w:r w:rsidR="00E7626E">
        <w:rPr>
          <w:sz w:val="22"/>
          <w:szCs w:val="22"/>
        </w:rPr>
        <w:t>seek</w:t>
      </w:r>
      <w:r w:rsidRPr="001D43CB">
        <w:rPr>
          <w:sz w:val="22"/>
          <w:szCs w:val="22"/>
        </w:rPr>
        <w:t xml:space="preserve"> to discuss the following themes:</w:t>
      </w:r>
    </w:p>
    <w:p w14:paraId="7F224C81" w14:textId="77777777" w:rsidR="004D6AB6" w:rsidRPr="001D43CB" w:rsidRDefault="004D6AB6" w:rsidP="00637D48">
      <w:pPr>
        <w:jc w:val="both"/>
        <w:rPr>
          <w:sz w:val="22"/>
          <w:szCs w:val="22"/>
        </w:rPr>
      </w:pPr>
    </w:p>
    <w:p w14:paraId="294A60EE" w14:textId="0F63A929" w:rsidR="00637D48" w:rsidRPr="00D37466" w:rsidRDefault="00637D48" w:rsidP="00D3746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37466">
        <w:rPr>
          <w:sz w:val="22"/>
          <w:szCs w:val="22"/>
        </w:rPr>
        <w:lastRenderedPageBreak/>
        <w:t>How do individuals configure the boundaries between work and nonwork? Which strategies do they use</w:t>
      </w:r>
      <w:r w:rsidR="00247F61" w:rsidRPr="00D37466">
        <w:rPr>
          <w:sz w:val="22"/>
          <w:szCs w:val="22"/>
        </w:rPr>
        <w:t xml:space="preserve"> in negotiating work-life balance</w:t>
      </w:r>
      <w:r w:rsidRPr="00D37466">
        <w:rPr>
          <w:sz w:val="22"/>
          <w:szCs w:val="22"/>
        </w:rPr>
        <w:t>?</w:t>
      </w:r>
    </w:p>
    <w:p w14:paraId="25754A60" w14:textId="009A4E10" w:rsidR="00637D48" w:rsidRPr="00D37466" w:rsidRDefault="00637D48" w:rsidP="00D3746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37466">
        <w:rPr>
          <w:sz w:val="22"/>
          <w:szCs w:val="22"/>
        </w:rPr>
        <w:t xml:space="preserve">What kind of meanings and (unintended) consequences do </w:t>
      </w:r>
      <w:r w:rsidR="002235E4">
        <w:rPr>
          <w:sz w:val="22"/>
          <w:szCs w:val="22"/>
        </w:rPr>
        <w:t>individuals</w:t>
      </w:r>
      <w:r w:rsidR="002235E4" w:rsidRPr="00D37466">
        <w:rPr>
          <w:sz w:val="22"/>
          <w:szCs w:val="22"/>
        </w:rPr>
        <w:t xml:space="preserve"> </w:t>
      </w:r>
      <w:r w:rsidRPr="00D37466">
        <w:rPr>
          <w:sz w:val="22"/>
          <w:szCs w:val="22"/>
        </w:rPr>
        <w:t>associate with flexible work</w:t>
      </w:r>
      <w:r w:rsidR="004D6AB6" w:rsidRPr="00D37466">
        <w:rPr>
          <w:sz w:val="22"/>
          <w:szCs w:val="22"/>
        </w:rPr>
        <w:t>ing</w:t>
      </w:r>
      <w:r w:rsidRPr="00D37466">
        <w:rPr>
          <w:sz w:val="22"/>
          <w:szCs w:val="22"/>
        </w:rPr>
        <w:t>?</w:t>
      </w:r>
    </w:p>
    <w:p w14:paraId="1FB31C65" w14:textId="3AB168B2" w:rsidR="00637D48" w:rsidRPr="00D37466" w:rsidRDefault="00637D48" w:rsidP="00D3746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37466">
        <w:rPr>
          <w:sz w:val="22"/>
          <w:szCs w:val="22"/>
        </w:rPr>
        <w:t xml:space="preserve">How are power relations, legitimations and identities affected by flexible </w:t>
      </w:r>
      <w:proofErr w:type="spellStart"/>
      <w:r w:rsidRPr="00D37466">
        <w:rPr>
          <w:sz w:val="22"/>
          <w:szCs w:val="22"/>
        </w:rPr>
        <w:t>spatio</w:t>
      </w:r>
      <w:proofErr w:type="spellEnd"/>
      <w:r w:rsidRPr="00D37466">
        <w:rPr>
          <w:sz w:val="22"/>
          <w:szCs w:val="22"/>
        </w:rPr>
        <w:t>-temporal arrangements (such as hot-desking, telework</w:t>
      </w:r>
      <w:r w:rsidR="002235E4">
        <w:rPr>
          <w:sz w:val="22"/>
          <w:szCs w:val="22"/>
        </w:rPr>
        <w:t>ing</w:t>
      </w:r>
      <w:r w:rsidRPr="00D37466">
        <w:rPr>
          <w:sz w:val="22"/>
          <w:szCs w:val="22"/>
        </w:rPr>
        <w:t>, mobile work</w:t>
      </w:r>
      <w:r w:rsidR="002235E4">
        <w:rPr>
          <w:sz w:val="22"/>
          <w:szCs w:val="22"/>
        </w:rPr>
        <w:t>ing</w:t>
      </w:r>
      <w:r w:rsidRPr="00D37466">
        <w:rPr>
          <w:sz w:val="22"/>
          <w:szCs w:val="22"/>
        </w:rPr>
        <w:t>)?</w:t>
      </w:r>
    </w:p>
    <w:p w14:paraId="3555082A" w14:textId="430A46F0" w:rsidR="00637D48" w:rsidRPr="00D37466" w:rsidRDefault="00637D48" w:rsidP="00D3746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37466">
        <w:rPr>
          <w:sz w:val="22"/>
          <w:szCs w:val="22"/>
        </w:rPr>
        <w:t>What are the explicit and implicit constraints, possibilities and (un)intended consequences generated by material and technological software and hardware designs used for flexible working?</w:t>
      </w:r>
    </w:p>
    <w:p w14:paraId="1A26F2F3" w14:textId="7C50350F" w:rsidR="00637D48" w:rsidRPr="00D37466" w:rsidRDefault="00637D48" w:rsidP="00D3746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37466">
        <w:rPr>
          <w:sz w:val="22"/>
          <w:szCs w:val="22"/>
        </w:rPr>
        <w:t>Which ideologies and strategies are used to further and legitimate flexible work</w:t>
      </w:r>
      <w:r w:rsidR="004D6AB6" w:rsidRPr="00D37466">
        <w:rPr>
          <w:sz w:val="22"/>
          <w:szCs w:val="22"/>
        </w:rPr>
        <w:t>ing</w:t>
      </w:r>
      <w:r w:rsidRPr="00D37466">
        <w:rPr>
          <w:sz w:val="22"/>
          <w:szCs w:val="22"/>
        </w:rPr>
        <w:t xml:space="preserve">?  </w:t>
      </w:r>
    </w:p>
    <w:p w14:paraId="634316E3" w14:textId="0E0230FD" w:rsidR="00637D48" w:rsidRPr="00D37466" w:rsidRDefault="00637D48" w:rsidP="00D3746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37466">
        <w:rPr>
          <w:sz w:val="22"/>
          <w:szCs w:val="22"/>
        </w:rPr>
        <w:t>How do organizations contribute</w:t>
      </w:r>
      <w:r w:rsidR="002235E4">
        <w:rPr>
          <w:sz w:val="22"/>
          <w:szCs w:val="22"/>
        </w:rPr>
        <w:t xml:space="preserve"> or </w:t>
      </w:r>
      <w:r w:rsidRPr="00D37466">
        <w:rPr>
          <w:sz w:val="22"/>
          <w:szCs w:val="22"/>
        </w:rPr>
        <w:t>respond</w:t>
      </w:r>
      <w:r w:rsidR="00EE6981" w:rsidRPr="00D37466">
        <w:rPr>
          <w:sz w:val="22"/>
          <w:szCs w:val="22"/>
        </w:rPr>
        <w:t xml:space="preserve"> to exigencies of flexible work</w:t>
      </w:r>
      <w:r w:rsidR="004D6AB6" w:rsidRPr="00D37466">
        <w:rPr>
          <w:sz w:val="22"/>
          <w:szCs w:val="22"/>
        </w:rPr>
        <w:t>ing</w:t>
      </w:r>
      <w:r w:rsidR="00EE6981" w:rsidRPr="00D37466">
        <w:rPr>
          <w:sz w:val="22"/>
          <w:szCs w:val="22"/>
        </w:rPr>
        <w:t xml:space="preserve"> and w</w:t>
      </w:r>
      <w:r w:rsidRPr="00D37466">
        <w:rPr>
          <w:sz w:val="22"/>
          <w:szCs w:val="22"/>
        </w:rPr>
        <w:t>hich ethical dilemmas arise as a result?</w:t>
      </w:r>
    </w:p>
    <w:p w14:paraId="1FD1EEAA" w14:textId="051E23A5" w:rsidR="00637D48" w:rsidRPr="00D37466" w:rsidRDefault="00637D48" w:rsidP="00D3746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37466">
        <w:rPr>
          <w:sz w:val="22"/>
          <w:szCs w:val="22"/>
        </w:rPr>
        <w:t>What are the opportunities and challenges</w:t>
      </w:r>
      <w:r w:rsidR="002235E4">
        <w:rPr>
          <w:sz w:val="22"/>
          <w:szCs w:val="22"/>
        </w:rPr>
        <w:t xml:space="preserve"> of flexible working</w:t>
      </w:r>
      <w:r w:rsidRPr="00D37466">
        <w:rPr>
          <w:sz w:val="22"/>
          <w:szCs w:val="22"/>
        </w:rPr>
        <w:t xml:space="preserve"> for organizations and employees? Can both be considered using a single frame of reference?</w:t>
      </w:r>
    </w:p>
    <w:p w14:paraId="53BDAE52" w14:textId="704A1A39" w:rsidR="00637D48" w:rsidRPr="00D37466" w:rsidRDefault="00637D48" w:rsidP="00D3746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37466">
        <w:rPr>
          <w:sz w:val="22"/>
          <w:szCs w:val="22"/>
        </w:rPr>
        <w:t>What are the main methodological issues when researching boundary work and boundary workers?</w:t>
      </w:r>
    </w:p>
    <w:p w14:paraId="2ED57354" w14:textId="3BBFADDB" w:rsidR="00637D48" w:rsidRDefault="00637D48" w:rsidP="00D3746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37466">
        <w:rPr>
          <w:sz w:val="22"/>
          <w:szCs w:val="22"/>
        </w:rPr>
        <w:t>Which existing theories best inform our understanding of reshaped landscapes of modern work? Or are we in need of a new theory?</w:t>
      </w:r>
    </w:p>
    <w:p w14:paraId="05F31A17" w14:textId="5A3CA744" w:rsidR="009F7A99" w:rsidRPr="00D37466" w:rsidRDefault="009F7A99" w:rsidP="00D3746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282E8D">
        <w:rPr>
          <w:sz w:val="22"/>
          <w:szCs w:val="22"/>
        </w:rPr>
        <w:t>We also would appreciate more general contributions about the renewed interest in the material dimension of organizations (</w:t>
      </w:r>
      <w:proofErr w:type="spellStart"/>
      <w:r w:rsidRPr="00282E8D">
        <w:rPr>
          <w:sz w:val="22"/>
          <w:szCs w:val="22"/>
        </w:rPr>
        <w:t>Aroles</w:t>
      </w:r>
      <w:proofErr w:type="spellEnd"/>
      <w:r w:rsidRPr="00282E8D">
        <w:rPr>
          <w:sz w:val="22"/>
          <w:szCs w:val="22"/>
        </w:rPr>
        <w:t xml:space="preserve"> and McLean, 2016; </w:t>
      </w:r>
      <w:proofErr w:type="spellStart"/>
      <w:r w:rsidRPr="00282E8D">
        <w:rPr>
          <w:sz w:val="22"/>
          <w:szCs w:val="22"/>
        </w:rPr>
        <w:t>Beyes</w:t>
      </w:r>
      <w:proofErr w:type="spellEnd"/>
      <w:r w:rsidRPr="00282E8D">
        <w:rPr>
          <w:sz w:val="22"/>
          <w:szCs w:val="22"/>
        </w:rPr>
        <w:t xml:space="preserve"> and </w:t>
      </w:r>
      <w:proofErr w:type="spellStart"/>
      <w:r w:rsidRPr="00282E8D">
        <w:rPr>
          <w:sz w:val="22"/>
          <w:szCs w:val="22"/>
        </w:rPr>
        <w:t>Steyaert</w:t>
      </w:r>
      <w:proofErr w:type="spellEnd"/>
      <w:r w:rsidRPr="00282E8D">
        <w:rPr>
          <w:sz w:val="22"/>
          <w:szCs w:val="22"/>
        </w:rPr>
        <w:t xml:space="preserve">, 2012; de </w:t>
      </w:r>
      <w:proofErr w:type="spellStart"/>
      <w:r w:rsidRPr="00282E8D">
        <w:rPr>
          <w:sz w:val="22"/>
          <w:szCs w:val="22"/>
        </w:rPr>
        <w:t>Vaujany</w:t>
      </w:r>
      <w:proofErr w:type="spellEnd"/>
      <w:r w:rsidRPr="00282E8D">
        <w:rPr>
          <w:sz w:val="22"/>
          <w:szCs w:val="22"/>
        </w:rPr>
        <w:t xml:space="preserve"> and </w:t>
      </w:r>
      <w:proofErr w:type="spellStart"/>
      <w:r w:rsidRPr="00282E8D">
        <w:rPr>
          <w:sz w:val="22"/>
          <w:szCs w:val="22"/>
        </w:rPr>
        <w:t>Mitev</w:t>
      </w:r>
      <w:proofErr w:type="spellEnd"/>
      <w:r w:rsidRPr="00282E8D">
        <w:rPr>
          <w:sz w:val="22"/>
          <w:szCs w:val="22"/>
        </w:rPr>
        <w:t xml:space="preserve">, 2013; de </w:t>
      </w:r>
      <w:proofErr w:type="spellStart"/>
      <w:r w:rsidRPr="00282E8D">
        <w:rPr>
          <w:sz w:val="22"/>
          <w:szCs w:val="22"/>
        </w:rPr>
        <w:t>Vaujany</w:t>
      </w:r>
      <w:proofErr w:type="spellEnd"/>
      <w:r w:rsidRPr="00282E8D">
        <w:rPr>
          <w:sz w:val="22"/>
          <w:szCs w:val="22"/>
        </w:rPr>
        <w:t xml:space="preserve"> and </w:t>
      </w:r>
      <w:proofErr w:type="spellStart"/>
      <w:r w:rsidRPr="00282E8D">
        <w:rPr>
          <w:sz w:val="22"/>
          <w:szCs w:val="22"/>
        </w:rPr>
        <w:t>Vaast</w:t>
      </w:r>
      <w:proofErr w:type="spellEnd"/>
      <w:r w:rsidRPr="00282E8D">
        <w:rPr>
          <w:sz w:val="22"/>
          <w:szCs w:val="22"/>
        </w:rPr>
        <w:t xml:space="preserve">, 2014; Dale and Burrell, 2008; </w:t>
      </w:r>
      <w:proofErr w:type="spellStart"/>
      <w:r w:rsidRPr="00282E8D">
        <w:rPr>
          <w:sz w:val="22"/>
          <w:szCs w:val="22"/>
        </w:rPr>
        <w:t>Kingma</w:t>
      </w:r>
      <w:proofErr w:type="spellEnd"/>
      <w:r w:rsidRPr="00282E8D">
        <w:rPr>
          <w:sz w:val="22"/>
          <w:szCs w:val="22"/>
        </w:rPr>
        <w:t xml:space="preserve">, Dale and Wasserman, 2018; </w:t>
      </w:r>
      <w:proofErr w:type="spellStart"/>
      <w:r w:rsidRPr="00282E8D">
        <w:rPr>
          <w:sz w:val="22"/>
          <w:szCs w:val="22"/>
        </w:rPr>
        <w:t>Kornberger</w:t>
      </w:r>
      <w:proofErr w:type="spellEnd"/>
      <w:r w:rsidRPr="00282E8D">
        <w:rPr>
          <w:sz w:val="22"/>
          <w:szCs w:val="22"/>
        </w:rPr>
        <w:t xml:space="preserve"> and Clegg, 2004; </w:t>
      </w:r>
      <w:proofErr w:type="spellStart"/>
      <w:r w:rsidRPr="00282E8D">
        <w:rPr>
          <w:sz w:val="22"/>
          <w:szCs w:val="22"/>
        </w:rPr>
        <w:t>Orlikowski</w:t>
      </w:r>
      <w:proofErr w:type="spellEnd"/>
      <w:r w:rsidRPr="00282E8D">
        <w:rPr>
          <w:sz w:val="22"/>
          <w:szCs w:val="22"/>
        </w:rPr>
        <w:t xml:space="preserve"> and Scott, 2008; Wasserman and Frenkel, 2011).</w:t>
      </w:r>
    </w:p>
    <w:p w14:paraId="4DB63ACD" w14:textId="77777777" w:rsidR="00637D48" w:rsidRDefault="00637D48" w:rsidP="00637D48">
      <w:pPr>
        <w:jc w:val="both"/>
        <w:rPr>
          <w:sz w:val="22"/>
          <w:szCs w:val="22"/>
        </w:rPr>
      </w:pPr>
    </w:p>
    <w:p w14:paraId="3283F6B6" w14:textId="48107E42" w:rsidR="003548B6" w:rsidRDefault="003548B6" w:rsidP="00637D48">
      <w:pPr>
        <w:jc w:val="both"/>
        <w:rPr>
          <w:sz w:val="22"/>
          <w:szCs w:val="22"/>
        </w:rPr>
      </w:pPr>
      <w:r w:rsidRPr="003548B6">
        <w:rPr>
          <w:sz w:val="22"/>
          <w:szCs w:val="22"/>
        </w:rPr>
        <w:t xml:space="preserve">Please submit a </w:t>
      </w:r>
      <w:proofErr w:type="gramStart"/>
      <w:r w:rsidRPr="00E27EC4">
        <w:rPr>
          <w:sz w:val="22"/>
          <w:szCs w:val="22"/>
          <w:u w:val="single"/>
        </w:rPr>
        <w:t>500-1000 word</w:t>
      </w:r>
      <w:proofErr w:type="gramEnd"/>
      <w:r w:rsidRPr="00E27EC4">
        <w:rPr>
          <w:sz w:val="22"/>
          <w:szCs w:val="22"/>
          <w:u w:val="single"/>
        </w:rPr>
        <w:t xml:space="preserve"> abstract</w:t>
      </w:r>
      <w:r w:rsidRPr="003548B6">
        <w:rPr>
          <w:sz w:val="22"/>
          <w:szCs w:val="22"/>
        </w:rPr>
        <w:t xml:space="preserve"> (excluding references, one</w:t>
      </w:r>
      <w:r>
        <w:rPr>
          <w:sz w:val="22"/>
          <w:szCs w:val="22"/>
        </w:rPr>
        <w:t>-two</w:t>
      </w:r>
      <w:r w:rsidRPr="003548B6">
        <w:rPr>
          <w:sz w:val="22"/>
          <w:szCs w:val="22"/>
        </w:rPr>
        <w:t xml:space="preserve"> page, Word document NOT PDF, single spaced, no header, footers or track changes) together with</w:t>
      </w:r>
      <w:r>
        <w:rPr>
          <w:sz w:val="22"/>
          <w:szCs w:val="22"/>
        </w:rPr>
        <w:t xml:space="preserve"> your contact information to </w:t>
      </w:r>
      <w:r w:rsidRPr="00E27EC4">
        <w:rPr>
          <w:sz w:val="22"/>
          <w:szCs w:val="22"/>
          <w:u w:val="single"/>
        </w:rPr>
        <w:t>michal.izak@roehampton.ac.uk</w:t>
      </w:r>
      <w:r w:rsidRPr="003548B6">
        <w:rPr>
          <w:sz w:val="22"/>
          <w:szCs w:val="22"/>
        </w:rPr>
        <w:t xml:space="preserve">. The deadline for submission of abstracts is </w:t>
      </w:r>
      <w:r w:rsidRPr="00E27EC4">
        <w:rPr>
          <w:sz w:val="22"/>
          <w:szCs w:val="22"/>
          <w:u w:val="single"/>
        </w:rPr>
        <w:t>January 31st</w:t>
      </w:r>
      <w:proofErr w:type="gramStart"/>
      <w:r w:rsidRPr="00E27EC4">
        <w:rPr>
          <w:sz w:val="22"/>
          <w:szCs w:val="22"/>
          <w:u w:val="single"/>
        </w:rPr>
        <w:t xml:space="preserve"> 2019</w:t>
      </w:r>
      <w:proofErr w:type="gramEnd"/>
      <w:r w:rsidRPr="003548B6">
        <w:rPr>
          <w:sz w:val="22"/>
          <w:szCs w:val="22"/>
        </w:rPr>
        <w:t>, and we will notify you of our decision by the end of February</w:t>
      </w:r>
      <w:r>
        <w:rPr>
          <w:sz w:val="22"/>
          <w:szCs w:val="22"/>
        </w:rPr>
        <w:t>.</w:t>
      </w:r>
    </w:p>
    <w:p w14:paraId="0B9C7F02" w14:textId="77777777" w:rsidR="003548B6" w:rsidRPr="001D43CB" w:rsidRDefault="003548B6" w:rsidP="00637D48">
      <w:pPr>
        <w:jc w:val="both"/>
        <w:rPr>
          <w:sz w:val="22"/>
          <w:szCs w:val="22"/>
        </w:rPr>
      </w:pPr>
    </w:p>
    <w:p w14:paraId="62FAA9C8" w14:textId="77777777" w:rsidR="00637D48" w:rsidRPr="001D43CB" w:rsidRDefault="00637D48" w:rsidP="00637D48">
      <w:pPr>
        <w:jc w:val="both"/>
        <w:rPr>
          <w:sz w:val="22"/>
          <w:szCs w:val="22"/>
          <w:u w:val="single"/>
        </w:rPr>
      </w:pPr>
      <w:r w:rsidRPr="001D43CB">
        <w:rPr>
          <w:sz w:val="22"/>
          <w:szCs w:val="22"/>
          <w:u w:val="single"/>
        </w:rPr>
        <w:t>Bibliography</w:t>
      </w:r>
    </w:p>
    <w:p w14:paraId="1975510D" w14:textId="463FB3B2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proofErr w:type="spellStart"/>
      <w:r w:rsidRPr="00282E8D">
        <w:rPr>
          <w:sz w:val="22"/>
          <w:szCs w:val="22"/>
        </w:rPr>
        <w:t>Aroles</w:t>
      </w:r>
      <w:proofErr w:type="spellEnd"/>
      <w:r>
        <w:rPr>
          <w:sz w:val="22"/>
          <w:szCs w:val="22"/>
        </w:rPr>
        <w:t>,</w:t>
      </w:r>
      <w:r w:rsidRPr="00282E8D">
        <w:rPr>
          <w:sz w:val="22"/>
          <w:szCs w:val="22"/>
        </w:rPr>
        <w:t xml:space="preserve"> J</w:t>
      </w:r>
      <w:r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and McLean</w:t>
      </w:r>
      <w:r>
        <w:rPr>
          <w:sz w:val="22"/>
          <w:szCs w:val="22"/>
        </w:rPr>
        <w:t>,</w:t>
      </w:r>
      <w:r w:rsidRPr="00282E8D">
        <w:rPr>
          <w:sz w:val="22"/>
          <w:szCs w:val="22"/>
        </w:rPr>
        <w:t xml:space="preserve"> C</w:t>
      </w:r>
      <w:r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(2016)</w:t>
      </w:r>
      <w:r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</w:t>
      </w:r>
      <w:r>
        <w:rPr>
          <w:sz w:val="22"/>
          <w:szCs w:val="22"/>
        </w:rPr>
        <w:t>‘</w:t>
      </w:r>
      <w:r w:rsidRPr="00282E8D">
        <w:rPr>
          <w:sz w:val="22"/>
          <w:szCs w:val="22"/>
        </w:rPr>
        <w:t>Rethinking stability and change: Difference and repetition in a newspaper-printing factory</w:t>
      </w:r>
      <w:r>
        <w:rPr>
          <w:sz w:val="22"/>
          <w:szCs w:val="22"/>
        </w:rPr>
        <w:t>.’</w:t>
      </w:r>
      <w:r w:rsidRPr="00282E8D">
        <w:rPr>
          <w:sz w:val="22"/>
          <w:szCs w:val="22"/>
        </w:rPr>
        <w:t xml:space="preserve"> </w:t>
      </w:r>
      <w:r w:rsidRPr="00282E8D">
        <w:rPr>
          <w:i/>
          <w:sz w:val="22"/>
          <w:szCs w:val="22"/>
        </w:rPr>
        <w:t xml:space="preserve">Organization </w:t>
      </w:r>
      <w:proofErr w:type="gramStart"/>
      <w:r w:rsidRPr="00282E8D">
        <w:rPr>
          <w:i/>
          <w:sz w:val="22"/>
          <w:szCs w:val="22"/>
        </w:rPr>
        <w:t>Science</w:t>
      </w:r>
      <w:r w:rsidRPr="00282E8D"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Pr="00282E8D">
        <w:rPr>
          <w:sz w:val="22"/>
          <w:szCs w:val="22"/>
        </w:rPr>
        <w:t xml:space="preserve"> 27</w:t>
      </w:r>
      <w:proofErr w:type="gramEnd"/>
      <w:r w:rsidRPr="00282E8D">
        <w:rPr>
          <w:sz w:val="22"/>
          <w:szCs w:val="22"/>
        </w:rPr>
        <w:t>: 535-550.</w:t>
      </w:r>
    </w:p>
    <w:p w14:paraId="44B31AB1" w14:textId="0A0D4A60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Beyes</w:t>
      </w:r>
      <w:proofErr w:type="spellEnd"/>
      <w:r>
        <w:rPr>
          <w:sz w:val="22"/>
          <w:szCs w:val="22"/>
        </w:rPr>
        <w:t xml:space="preserve">, T., and </w:t>
      </w:r>
      <w:proofErr w:type="spellStart"/>
      <w:r>
        <w:rPr>
          <w:sz w:val="22"/>
          <w:szCs w:val="22"/>
        </w:rPr>
        <w:t>Steyaert</w:t>
      </w:r>
      <w:proofErr w:type="spellEnd"/>
      <w:r>
        <w:rPr>
          <w:sz w:val="22"/>
          <w:szCs w:val="22"/>
        </w:rPr>
        <w:t>, Ch. (</w:t>
      </w:r>
      <w:r w:rsidRPr="00282E8D">
        <w:rPr>
          <w:sz w:val="22"/>
          <w:szCs w:val="22"/>
        </w:rPr>
        <w:t>2012</w:t>
      </w:r>
      <w:r>
        <w:rPr>
          <w:sz w:val="22"/>
          <w:szCs w:val="22"/>
        </w:rPr>
        <w:t>). ‘</w:t>
      </w:r>
      <w:r w:rsidRPr="00282E8D">
        <w:rPr>
          <w:sz w:val="22"/>
          <w:szCs w:val="22"/>
        </w:rPr>
        <w:t>Spacing organization: non-representational theory and p</w:t>
      </w:r>
      <w:r>
        <w:rPr>
          <w:sz w:val="22"/>
          <w:szCs w:val="22"/>
        </w:rPr>
        <w:t>erforming organizational space.’</w:t>
      </w:r>
      <w:r w:rsidRPr="00282E8D">
        <w:rPr>
          <w:sz w:val="22"/>
          <w:szCs w:val="22"/>
        </w:rPr>
        <w:t xml:space="preserve"> </w:t>
      </w:r>
      <w:r w:rsidRPr="00282E8D">
        <w:rPr>
          <w:i/>
          <w:sz w:val="22"/>
          <w:szCs w:val="22"/>
        </w:rPr>
        <w:t>Organization</w:t>
      </w:r>
      <w:r>
        <w:rPr>
          <w:sz w:val="22"/>
          <w:szCs w:val="22"/>
        </w:rPr>
        <w:t xml:space="preserve">, </w:t>
      </w:r>
      <w:r w:rsidRPr="00282E8D">
        <w:rPr>
          <w:sz w:val="22"/>
          <w:szCs w:val="22"/>
        </w:rPr>
        <w:t>19 (1):45-61.</w:t>
      </w:r>
    </w:p>
    <w:p w14:paraId="1584C7E0" w14:textId="557A1369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proofErr w:type="spellStart"/>
      <w:r w:rsidRPr="00282E8D">
        <w:rPr>
          <w:sz w:val="22"/>
          <w:szCs w:val="22"/>
        </w:rPr>
        <w:t>Boell</w:t>
      </w:r>
      <w:proofErr w:type="spellEnd"/>
      <w:r w:rsidRPr="00282E8D">
        <w:rPr>
          <w:sz w:val="22"/>
          <w:szCs w:val="22"/>
        </w:rPr>
        <w:t xml:space="preserve">, S. K., </w:t>
      </w:r>
      <w:proofErr w:type="spellStart"/>
      <w:r w:rsidRPr="00282E8D">
        <w:rPr>
          <w:sz w:val="22"/>
          <w:szCs w:val="22"/>
        </w:rPr>
        <w:t>Cecez-Kecmanovi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>, D. and Campbell, J. (2016). ‘</w:t>
      </w:r>
      <w:r w:rsidRPr="00282E8D">
        <w:rPr>
          <w:sz w:val="22"/>
          <w:szCs w:val="22"/>
        </w:rPr>
        <w:t>Telework paradoxes and practices: the importance of the nature of wor</w:t>
      </w:r>
      <w:r>
        <w:rPr>
          <w:sz w:val="22"/>
          <w:szCs w:val="22"/>
        </w:rPr>
        <w:t>k.’</w:t>
      </w:r>
      <w:r w:rsidRPr="00282E8D">
        <w:rPr>
          <w:sz w:val="22"/>
          <w:szCs w:val="22"/>
        </w:rPr>
        <w:t xml:space="preserve"> </w:t>
      </w:r>
      <w:r w:rsidRPr="00282E8D">
        <w:rPr>
          <w:i/>
          <w:sz w:val="22"/>
          <w:szCs w:val="22"/>
        </w:rPr>
        <w:t>New Technology, Work and Employment</w:t>
      </w:r>
      <w:r>
        <w:rPr>
          <w:sz w:val="22"/>
          <w:szCs w:val="22"/>
        </w:rPr>
        <w:t>, 31 (2):</w:t>
      </w:r>
      <w:r w:rsidRPr="00282E8D">
        <w:rPr>
          <w:sz w:val="22"/>
          <w:szCs w:val="22"/>
        </w:rPr>
        <w:t>114-131.</w:t>
      </w:r>
    </w:p>
    <w:p w14:paraId="21F4A13C" w14:textId="73264E67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r w:rsidRPr="00282E8D">
        <w:rPr>
          <w:sz w:val="22"/>
          <w:szCs w:val="22"/>
        </w:rPr>
        <w:t>Dale</w:t>
      </w:r>
      <w:r>
        <w:rPr>
          <w:sz w:val="22"/>
          <w:szCs w:val="22"/>
        </w:rPr>
        <w:t>,</w:t>
      </w:r>
      <w:r w:rsidRPr="00282E8D">
        <w:rPr>
          <w:sz w:val="22"/>
          <w:szCs w:val="22"/>
        </w:rPr>
        <w:t xml:space="preserve"> K</w:t>
      </w:r>
      <w:r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and Burrell</w:t>
      </w:r>
      <w:r>
        <w:rPr>
          <w:sz w:val="22"/>
          <w:szCs w:val="22"/>
        </w:rPr>
        <w:t>,</w:t>
      </w:r>
      <w:r w:rsidRPr="00282E8D">
        <w:rPr>
          <w:sz w:val="22"/>
          <w:szCs w:val="22"/>
        </w:rPr>
        <w:t xml:space="preserve"> G</w:t>
      </w:r>
      <w:r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(2008)</w:t>
      </w:r>
      <w:r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</w:t>
      </w:r>
      <w:r w:rsidRPr="00282E8D">
        <w:rPr>
          <w:i/>
          <w:sz w:val="22"/>
          <w:szCs w:val="22"/>
        </w:rPr>
        <w:t xml:space="preserve">The spaces of </w:t>
      </w:r>
      <w:proofErr w:type="spellStart"/>
      <w:r w:rsidRPr="00282E8D">
        <w:rPr>
          <w:i/>
          <w:sz w:val="22"/>
          <w:szCs w:val="22"/>
        </w:rPr>
        <w:t>organisation</w:t>
      </w:r>
      <w:proofErr w:type="spellEnd"/>
      <w:r w:rsidRPr="00282E8D">
        <w:rPr>
          <w:i/>
          <w:sz w:val="22"/>
          <w:szCs w:val="22"/>
        </w:rPr>
        <w:t xml:space="preserve"> &amp; the </w:t>
      </w:r>
      <w:proofErr w:type="spellStart"/>
      <w:r w:rsidRPr="00282E8D">
        <w:rPr>
          <w:i/>
          <w:sz w:val="22"/>
          <w:szCs w:val="22"/>
        </w:rPr>
        <w:t>organisation</w:t>
      </w:r>
      <w:proofErr w:type="spellEnd"/>
      <w:r w:rsidRPr="00282E8D">
        <w:rPr>
          <w:i/>
          <w:sz w:val="22"/>
          <w:szCs w:val="22"/>
        </w:rPr>
        <w:t xml:space="preserve"> of space. Power, identity and materiality at work</w:t>
      </w:r>
      <w:r w:rsidRPr="00282E8D">
        <w:rPr>
          <w:sz w:val="22"/>
          <w:szCs w:val="22"/>
        </w:rPr>
        <w:t>. New York: Palgrave.</w:t>
      </w:r>
    </w:p>
    <w:p w14:paraId="128367AD" w14:textId="51E40AE1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r w:rsidRPr="00282E8D">
        <w:rPr>
          <w:sz w:val="22"/>
          <w:szCs w:val="22"/>
        </w:rPr>
        <w:t xml:space="preserve">de </w:t>
      </w:r>
      <w:proofErr w:type="spellStart"/>
      <w:r w:rsidRPr="00282E8D">
        <w:rPr>
          <w:sz w:val="22"/>
          <w:szCs w:val="22"/>
        </w:rPr>
        <w:t>Vaujany</w:t>
      </w:r>
      <w:proofErr w:type="spellEnd"/>
      <w:r>
        <w:rPr>
          <w:sz w:val="22"/>
          <w:szCs w:val="22"/>
        </w:rPr>
        <w:t>,</w:t>
      </w:r>
      <w:r w:rsidRPr="00282E8D">
        <w:rPr>
          <w:sz w:val="22"/>
          <w:szCs w:val="22"/>
        </w:rPr>
        <w:t xml:space="preserve"> F-X</w:t>
      </w:r>
      <w:r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and </w:t>
      </w:r>
      <w:proofErr w:type="spellStart"/>
      <w:r w:rsidRPr="00282E8D">
        <w:rPr>
          <w:sz w:val="22"/>
          <w:szCs w:val="22"/>
        </w:rPr>
        <w:t>Mitev</w:t>
      </w:r>
      <w:proofErr w:type="spellEnd"/>
      <w:r>
        <w:rPr>
          <w:sz w:val="22"/>
          <w:szCs w:val="22"/>
        </w:rPr>
        <w:t>,</w:t>
      </w:r>
      <w:r w:rsidRPr="00282E8D">
        <w:rPr>
          <w:sz w:val="22"/>
          <w:szCs w:val="22"/>
        </w:rPr>
        <w:t xml:space="preserve"> N</w:t>
      </w:r>
      <w:r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(2013)</w:t>
      </w:r>
      <w:r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</w:t>
      </w:r>
      <w:r w:rsidRPr="00282E8D">
        <w:rPr>
          <w:i/>
          <w:sz w:val="22"/>
          <w:szCs w:val="22"/>
        </w:rPr>
        <w:t>Materiality and space. Organizations, artifacts and practices</w:t>
      </w:r>
      <w:r w:rsidRPr="00282E8D">
        <w:rPr>
          <w:sz w:val="22"/>
          <w:szCs w:val="22"/>
        </w:rPr>
        <w:t>. London: Palgrave.</w:t>
      </w:r>
    </w:p>
    <w:p w14:paraId="562D09E6" w14:textId="2EE10F66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r w:rsidRPr="00282E8D">
        <w:rPr>
          <w:sz w:val="22"/>
          <w:szCs w:val="22"/>
        </w:rPr>
        <w:t xml:space="preserve">de </w:t>
      </w:r>
      <w:proofErr w:type="spellStart"/>
      <w:r w:rsidRPr="00282E8D">
        <w:rPr>
          <w:sz w:val="22"/>
          <w:szCs w:val="22"/>
        </w:rPr>
        <w:t>Vaujany</w:t>
      </w:r>
      <w:proofErr w:type="spellEnd"/>
      <w:r>
        <w:rPr>
          <w:sz w:val="22"/>
          <w:szCs w:val="22"/>
        </w:rPr>
        <w:t>,</w:t>
      </w:r>
      <w:r w:rsidRPr="00282E8D">
        <w:rPr>
          <w:sz w:val="22"/>
          <w:szCs w:val="22"/>
        </w:rPr>
        <w:t xml:space="preserve"> F-X</w:t>
      </w:r>
      <w:r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and </w:t>
      </w:r>
      <w:proofErr w:type="spellStart"/>
      <w:r w:rsidRPr="00282E8D">
        <w:rPr>
          <w:sz w:val="22"/>
          <w:szCs w:val="22"/>
        </w:rPr>
        <w:t>Vaast</w:t>
      </w:r>
      <w:proofErr w:type="spellEnd"/>
      <w:r>
        <w:rPr>
          <w:sz w:val="22"/>
          <w:szCs w:val="22"/>
        </w:rPr>
        <w:t>,</w:t>
      </w:r>
      <w:r w:rsidRPr="00282E8D">
        <w:rPr>
          <w:sz w:val="22"/>
          <w:szCs w:val="22"/>
        </w:rPr>
        <w:t xml:space="preserve"> E</w:t>
      </w:r>
      <w:r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(2014)</w:t>
      </w:r>
      <w:r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</w:t>
      </w:r>
      <w:r>
        <w:rPr>
          <w:sz w:val="22"/>
          <w:szCs w:val="22"/>
        </w:rPr>
        <w:t>‘</w:t>
      </w:r>
      <w:r w:rsidRPr="00282E8D">
        <w:rPr>
          <w:sz w:val="22"/>
          <w:szCs w:val="22"/>
        </w:rPr>
        <w:t>If These walls could talk: The mutual constructio</w:t>
      </w:r>
      <w:r>
        <w:rPr>
          <w:sz w:val="22"/>
          <w:szCs w:val="22"/>
        </w:rPr>
        <w:t>n of organizational space and Le</w:t>
      </w:r>
      <w:r w:rsidRPr="00282E8D">
        <w:rPr>
          <w:sz w:val="22"/>
          <w:szCs w:val="22"/>
        </w:rPr>
        <w:t>gitimacy</w:t>
      </w:r>
      <w:r>
        <w:rPr>
          <w:sz w:val="22"/>
          <w:szCs w:val="22"/>
        </w:rPr>
        <w:t>’</w:t>
      </w:r>
      <w:r w:rsidRPr="00282E8D">
        <w:rPr>
          <w:sz w:val="22"/>
          <w:szCs w:val="22"/>
        </w:rPr>
        <w:t xml:space="preserve">. </w:t>
      </w:r>
      <w:r w:rsidRPr="00282E8D">
        <w:rPr>
          <w:i/>
          <w:sz w:val="22"/>
          <w:szCs w:val="22"/>
        </w:rPr>
        <w:t>Organization Science</w:t>
      </w:r>
      <w:r>
        <w:rPr>
          <w:sz w:val="22"/>
          <w:szCs w:val="22"/>
        </w:rPr>
        <w:t xml:space="preserve">, </w:t>
      </w:r>
      <w:r w:rsidRPr="00282E8D">
        <w:rPr>
          <w:sz w:val="22"/>
          <w:szCs w:val="22"/>
        </w:rPr>
        <w:t>25: 713-731.</w:t>
      </w:r>
    </w:p>
    <w:p w14:paraId="2341DC1F" w14:textId="6C934A32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Evans, J. A.,</w:t>
      </w:r>
      <w:r w:rsidRPr="00282E8D">
        <w:rPr>
          <w:sz w:val="22"/>
          <w:szCs w:val="22"/>
        </w:rPr>
        <w:t xml:space="preserve"> </w:t>
      </w:r>
      <w:proofErr w:type="spellStart"/>
      <w:r w:rsidRPr="00282E8D">
        <w:rPr>
          <w:sz w:val="22"/>
          <w:szCs w:val="22"/>
        </w:rPr>
        <w:t>Kunda</w:t>
      </w:r>
      <w:proofErr w:type="spellEnd"/>
      <w:r w:rsidRPr="00282E8D">
        <w:rPr>
          <w:sz w:val="22"/>
          <w:szCs w:val="22"/>
        </w:rPr>
        <w:t xml:space="preserve">, G. and Barley, S. R. (2004). ‘Beach time, bridge time, and billable hours: The temporal structure of technical contracting’. </w:t>
      </w:r>
      <w:r w:rsidRPr="00282E8D">
        <w:rPr>
          <w:i/>
          <w:sz w:val="22"/>
          <w:szCs w:val="22"/>
        </w:rPr>
        <w:t>Administrative Science Quarterly</w:t>
      </w:r>
      <w:r w:rsidRPr="00282E8D">
        <w:rPr>
          <w:sz w:val="22"/>
          <w:szCs w:val="22"/>
        </w:rPr>
        <w:t>, 49(1): 1–38.</w:t>
      </w:r>
    </w:p>
    <w:p w14:paraId="30A6585F" w14:textId="74E9C4CC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r w:rsidRPr="00282E8D">
        <w:rPr>
          <w:sz w:val="22"/>
          <w:szCs w:val="22"/>
        </w:rPr>
        <w:t>Flem</w:t>
      </w:r>
      <w:r>
        <w:rPr>
          <w:sz w:val="22"/>
          <w:szCs w:val="22"/>
        </w:rPr>
        <w:t>ing, P. and Spicer, A. (2004). ‘</w:t>
      </w:r>
      <w:r w:rsidRPr="00282E8D">
        <w:rPr>
          <w:sz w:val="22"/>
          <w:szCs w:val="22"/>
        </w:rPr>
        <w:t xml:space="preserve">‘You can checkout anytime, but you can never leave’: Spatial boundaries in </w:t>
      </w:r>
      <w:r>
        <w:rPr>
          <w:sz w:val="22"/>
          <w:szCs w:val="22"/>
        </w:rPr>
        <w:t>a high commitment organization.’</w:t>
      </w:r>
      <w:r w:rsidRPr="00282E8D">
        <w:rPr>
          <w:sz w:val="22"/>
          <w:szCs w:val="22"/>
        </w:rPr>
        <w:t xml:space="preserve"> </w:t>
      </w:r>
      <w:r w:rsidRPr="00282E8D">
        <w:rPr>
          <w:i/>
          <w:sz w:val="22"/>
          <w:szCs w:val="22"/>
        </w:rPr>
        <w:t>Human Relations</w:t>
      </w:r>
      <w:r w:rsidRPr="00282E8D">
        <w:rPr>
          <w:sz w:val="22"/>
          <w:szCs w:val="22"/>
        </w:rPr>
        <w:t>, 57 (1): 75-94.</w:t>
      </w:r>
    </w:p>
    <w:p w14:paraId="7898F672" w14:textId="0B23277E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r w:rsidRPr="00282E8D">
        <w:rPr>
          <w:sz w:val="22"/>
          <w:szCs w:val="22"/>
        </w:rPr>
        <w:t>Fonner, K.</w:t>
      </w:r>
      <w:r>
        <w:rPr>
          <w:sz w:val="22"/>
          <w:szCs w:val="22"/>
        </w:rPr>
        <w:t xml:space="preserve"> </w:t>
      </w:r>
      <w:r w:rsidRPr="00282E8D">
        <w:rPr>
          <w:sz w:val="22"/>
          <w:szCs w:val="22"/>
        </w:rPr>
        <w:t>L. and Stache, L.</w:t>
      </w:r>
      <w:r>
        <w:rPr>
          <w:sz w:val="22"/>
          <w:szCs w:val="22"/>
        </w:rPr>
        <w:t xml:space="preserve"> </w:t>
      </w:r>
      <w:r w:rsidRPr="00282E8D">
        <w:rPr>
          <w:sz w:val="22"/>
          <w:szCs w:val="22"/>
        </w:rPr>
        <w:t xml:space="preserve">C. (2012). ‘All in a day’s work, at home: Teleworkers’ management of micro role transitions and the work-home boundary’, </w:t>
      </w:r>
      <w:r w:rsidRPr="00282E8D">
        <w:rPr>
          <w:i/>
          <w:sz w:val="22"/>
          <w:szCs w:val="22"/>
        </w:rPr>
        <w:t>New Technology, Work and Employment</w:t>
      </w:r>
      <w:r w:rsidRPr="00282E8D">
        <w:rPr>
          <w:sz w:val="22"/>
          <w:szCs w:val="22"/>
        </w:rPr>
        <w:t>, 27(3): 242-257.</w:t>
      </w:r>
    </w:p>
    <w:p w14:paraId="1F336DA0" w14:textId="77777777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proofErr w:type="spellStart"/>
      <w:r w:rsidRPr="00282E8D">
        <w:rPr>
          <w:sz w:val="22"/>
          <w:szCs w:val="22"/>
        </w:rPr>
        <w:lastRenderedPageBreak/>
        <w:t>Gajendran</w:t>
      </w:r>
      <w:proofErr w:type="spellEnd"/>
      <w:r w:rsidRPr="00282E8D">
        <w:rPr>
          <w:sz w:val="22"/>
          <w:szCs w:val="22"/>
        </w:rPr>
        <w:t xml:space="preserve">, R. S. and Harrison, D. A. (2007). ‘The good, the bad, and the unknown about telecommuting: Meta-analysis of psychological mediators and individual consequences’, </w:t>
      </w:r>
      <w:r w:rsidRPr="00282E8D">
        <w:rPr>
          <w:i/>
          <w:sz w:val="22"/>
          <w:szCs w:val="22"/>
        </w:rPr>
        <w:t>Journal of Applied Psychology</w:t>
      </w:r>
      <w:r w:rsidRPr="00282E8D">
        <w:rPr>
          <w:sz w:val="22"/>
          <w:szCs w:val="22"/>
        </w:rPr>
        <w:t>, 92(6): 1524-1541.</w:t>
      </w:r>
    </w:p>
    <w:p w14:paraId="1301507F" w14:textId="4BEAA963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Hirst, A. (2011). ‘</w:t>
      </w:r>
      <w:r w:rsidRPr="00282E8D">
        <w:rPr>
          <w:sz w:val="22"/>
          <w:szCs w:val="22"/>
        </w:rPr>
        <w:t>Settlers, vagrants and mutual indifference: unintend</w:t>
      </w:r>
      <w:r>
        <w:rPr>
          <w:sz w:val="22"/>
          <w:szCs w:val="22"/>
        </w:rPr>
        <w:t>ed consequences of hot-desking.’</w:t>
      </w:r>
      <w:r w:rsidRPr="00282E8D">
        <w:rPr>
          <w:sz w:val="22"/>
          <w:szCs w:val="22"/>
        </w:rPr>
        <w:t xml:space="preserve"> </w:t>
      </w:r>
      <w:r w:rsidRPr="00282E8D">
        <w:rPr>
          <w:i/>
          <w:sz w:val="22"/>
          <w:szCs w:val="22"/>
        </w:rPr>
        <w:t>Journal of Organizational Change Management</w:t>
      </w:r>
      <w:r w:rsidRPr="00282E8D">
        <w:rPr>
          <w:sz w:val="22"/>
          <w:szCs w:val="22"/>
        </w:rPr>
        <w:t>, 24 (6): 767-788.</w:t>
      </w:r>
    </w:p>
    <w:p w14:paraId="3479C28C" w14:textId="153424DC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proofErr w:type="spellStart"/>
      <w:r w:rsidRPr="00282E8D">
        <w:rPr>
          <w:sz w:val="22"/>
          <w:szCs w:val="22"/>
        </w:rPr>
        <w:t>Kelliher</w:t>
      </w:r>
      <w:proofErr w:type="spellEnd"/>
      <w:r w:rsidRPr="00282E8D">
        <w:rPr>
          <w:sz w:val="22"/>
          <w:szCs w:val="22"/>
        </w:rPr>
        <w:t xml:space="preserve">, C. and Anderson, D. (2010). </w:t>
      </w:r>
      <w:r>
        <w:rPr>
          <w:sz w:val="22"/>
          <w:szCs w:val="22"/>
        </w:rPr>
        <w:t>‘</w:t>
      </w:r>
      <w:r w:rsidRPr="00282E8D">
        <w:rPr>
          <w:sz w:val="22"/>
          <w:szCs w:val="22"/>
        </w:rPr>
        <w:t>Doing more with less? Flexible working practices and the intensification of work.</w:t>
      </w:r>
      <w:r>
        <w:rPr>
          <w:sz w:val="22"/>
          <w:szCs w:val="22"/>
        </w:rPr>
        <w:t>’</w:t>
      </w:r>
      <w:r w:rsidRPr="00282E8D">
        <w:rPr>
          <w:sz w:val="22"/>
          <w:szCs w:val="22"/>
        </w:rPr>
        <w:t xml:space="preserve"> </w:t>
      </w:r>
      <w:r w:rsidRPr="00282E8D">
        <w:rPr>
          <w:i/>
          <w:sz w:val="22"/>
          <w:szCs w:val="22"/>
        </w:rPr>
        <w:t>Human Relations</w:t>
      </w:r>
      <w:r w:rsidRPr="00282E8D">
        <w:rPr>
          <w:sz w:val="22"/>
          <w:szCs w:val="22"/>
        </w:rPr>
        <w:t>, 63(1): 83-106.</w:t>
      </w:r>
    </w:p>
    <w:p w14:paraId="3E29475B" w14:textId="4B1D6849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Kingma</w:t>
      </w:r>
      <w:proofErr w:type="spellEnd"/>
      <w:r>
        <w:rPr>
          <w:sz w:val="22"/>
          <w:szCs w:val="22"/>
        </w:rPr>
        <w:t>, S. F. (2016). ‘</w:t>
      </w:r>
      <w:r w:rsidRPr="00282E8D">
        <w:rPr>
          <w:sz w:val="22"/>
          <w:szCs w:val="22"/>
        </w:rPr>
        <w:t>The constitution of 'third workspaces' in between the</w:t>
      </w:r>
      <w:r>
        <w:rPr>
          <w:sz w:val="22"/>
          <w:szCs w:val="22"/>
        </w:rPr>
        <w:t xml:space="preserve"> home and the corporate office.’</w:t>
      </w:r>
      <w:r w:rsidRPr="00282E8D">
        <w:rPr>
          <w:sz w:val="22"/>
          <w:szCs w:val="22"/>
        </w:rPr>
        <w:t xml:space="preserve"> </w:t>
      </w:r>
      <w:r w:rsidRPr="00282E8D">
        <w:rPr>
          <w:i/>
          <w:sz w:val="22"/>
          <w:szCs w:val="22"/>
        </w:rPr>
        <w:t>New Technology, Work and Employment</w:t>
      </w:r>
      <w:r w:rsidRPr="00282E8D">
        <w:rPr>
          <w:sz w:val="22"/>
          <w:szCs w:val="22"/>
        </w:rPr>
        <w:t>, 31(2): 176-194.</w:t>
      </w:r>
    </w:p>
    <w:p w14:paraId="50A3475F" w14:textId="55D657FF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proofErr w:type="spellStart"/>
      <w:r w:rsidRPr="00282E8D">
        <w:rPr>
          <w:sz w:val="22"/>
          <w:szCs w:val="22"/>
        </w:rPr>
        <w:t>Kingma</w:t>
      </w:r>
      <w:proofErr w:type="spellEnd"/>
      <w:r w:rsidRPr="00282E8D">
        <w:rPr>
          <w:sz w:val="22"/>
          <w:szCs w:val="22"/>
        </w:rPr>
        <w:t xml:space="preserve">, </w:t>
      </w:r>
      <w:r>
        <w:rPr>
          <w:sz w:val="22"/>
          <w:szCs w:val="22"/>
        </w:rPr>
        <w:t>S. (2018). ‘</w:t>
      </w:r>
      <w:r w:rsidRPr="00282E8D">
        <w:rPr>
          <w:sz w:val="22"/>
          <w:szCs w:val="22"/>
        </w:rPr>
        <w:t>New Ways of Working (NWW): work space and cultural change</w:t>
      </w:r>
      <w:r>
        <w:rPr>
          <w:sz w:val="22"/>
          <w:szCs w:val="22"/>
        </w:rPr>
        <w:t xml:space="preserve"> in virtualizing organizations.’</w:t>
      </w:r>
      <w:r w:rsidRPr="00282E8D">
        <w:rPr>
          <w:sz w:val="22"/>
          <w:szCs w:val="22"/>
        </w:rPr>
        <w:t xml:space="preserve"> </w:t>
      </w:r>
      <w:r w:rsidRPr="00282E8D">
        <w:rPr>
          <w:i/>
          <w:sz w:val="22"/>
          <w:szCs w:val="22"/>
        </w:rPr>
        <w:t>Culture and Organization</w:t>
      </w:r>
      <w:r>
        <w:rPr>
          <w:sz w:val="22"/>
          <w:szCs w:val="22"/>
        </w:rPr>
        <w:t>,</w:t>
      </w:r>
      <w:r w:rsidRPr="00282E8D">
        <w:rPr>
          <w:sz w:val="22"/>
          <w:szCs w:val="22"/>
        </w:rPr>
        <w:t xml:space="preserve"> 25:</w:t>
      </w:r>
      <w:r>
        <w:rPr>
          <w:sz w:val="22"/>
          <w:szCs w:val="22"/>
        </w:rPr>
        <w:t xml:space="preserve"> </w:t>
      </w:r>
      <w:r w:rsidRPr="00282E8D">
        <w:rPr>
          <w:sz w:val="22"/>
          <w:szCs w:val="22"/>
        </w:rPr>
        <w:t>1-24.</w:t>
      </w:r>
    </w:p>
    <w:p w14:paraId="22F5F522" w14:textId="1AFAA808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proofErr w:type="spellStart"/>
      <w:r w:rsidRPr="00282E8D">
        <w:rPr>
          <w:sz w:val="22"/>
          <w:szCs w:val="22"/>
        </w:rPr>
        <w:t>Kingma</w:t>
      </w:r>
      <w:proofErr w:type="spellEnd"/>
      <w:r w:rsidRPr="00282E8D">
        <w:rPr>
          <w:sz w:val="22"/>
          <w:szCs w:val="22"/>
        </w:rPr>
        <w:t>, S.</w:t>
      </w:r>
      <w:r>
        <w:rPr>
          <w:sz w:val="22"/>
          <w:szCs w:val="22"/>
        </w:rPr>
        <w:t xml:space="preserve"> </w:t>
      </w:r>
      <w:r w:rsidRPr="00282E8D">
        <w:rPr>
          <w:sz w:val="22"/>
          <w:szCs w:val="22"/>
        </w:rPr>
        <w:t xml:space="preserve">F., Dale, K. and Wasserman, V. (2018). </w:t>
      </w:r>
      <w:r w:rsidRPr="00282E8D">
        <w:rPr>
          <w:i/>
          <w:sz w:val="22"/>
          <w:szCs w:val="22"/>
        </w:rPr>
        <w:t>Organizational Space and Beyond: The Significance of Henri Lefebvre for Organization Studies</w:t>
      </w:r>
      <w:r w:rsidRPr="00282E8D">
        <w:rPr>
          <w:sz w:val="22"/>
          <w:szCs w:val="22"/>
        </w:rPr>
        <w:t>. New York: Routledge.</w:t>
      </w:r>
    </w:p>
    <w:p w14:paraId="50C9E939" w14:textId="0F612F8A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proofErr w:type="spellStart"/>
      <w:r w:rsidRPr="00282E8D">
        <w:rPr>
          <w:sz w:val="22"/>
          <w:szCs w:val="22"/>
        </w:rPr>
        <w:t>Kornberger</w:t>
      </w:r>
      <w:proofErr w:type="spellEnd"/>
      <w:r>
        <w:rPr>
          <w:sz w:val="22"/>
          <w:szCs w:val="22"/>
        </w:rPr>
        <w:t>,</w:t>
      </w:r>
      <w:r w:rsidRPr="00282E8D">
        <w:rPr>
          <w:sz w:val="22"/>
          <w:szCs w:val="22"/>
        </w:rPr>
        <w:t xml:space="preserve"> M</w:t>
      </w:r>
      <w:r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and Clegg</w:t>
      </w:r>
      <w:r>
        <w:rPr>
          <w:sz w:val="22"/>
          <w:szCs w:val="22"/>
        </w:rPr>
        <w:t>,</w:t>
      </w:r>
      <w:r w:rsidRPr="00282E8D">
        <w:rPr>
          <w:sz w:val="22"/>
          <w:szCs w:val="22"/>
        </w:rPr>
        <w:t xml:space="preserve"> S</w:t>
      </w:r>
      <w:r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(2004)</w:t>
      </w:r>
      <w:r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</w:t>
      </w:r>
      <w:r>
        <w:rPr>
          <w:sz w:val="22"/>
          <w:szCs w:val="22"/>
        </w:rPr>
        <w:t>‘</w:t>
      </w:r>
      <w:r w:rsidRPr="00282E8D">
        <w:rPr>
          <w:sz w:val="22"/>
          <w:szCs w:val="22"/>
        </w:rPr>
        <w:t>Bringing space back in: Organizing the generative building.</w:t>
      </w:r>
      <w:r>
        <w:rPr>
          <w:sz w:val="22"/>
          <w:szCs w:val="22"/>
        </w:rPr>
        <w:t>’</w:t>
      </w:r>
      <w:r w:rsidRPr="00282E8D">
        <w:rPr>
          <w:sz w:val="22"/>
          <w:szCs w:val="22"/>
        </w:rPr>
        <w:t xml:space="preserve"> </w:t>
      </w:r>
      <w:r w:rsidRPr="00282E8D">
        <w:rPr>
          <w:i/>
          <w:sz w:val="22"/>
          <w:szCs w:val="22"/>
        </w:rPr>
        <w:t>Organization Studies</w:t>
      </w:r>
      <w:r>
        <w:rPr>
          <w:sz w:val="22"/>
          <w:szCs w:val="22"/>
        </w:rPr>
        <w:t xml:space="preserve">, </w:t>
      </w:r>
      <w:r w:rsidRPr="00282E8D">
        <w:rPr>
          <w:sz w:val="22"/>
          <w:szCs w:val="22"/>
        </w:rPr>
        <w:t>25: 1095-1114.</w:t>
      </w:r>
    </w:p>
    <w:p w14:paraId="78E9A7E3" w14:textId="18258CAC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proofErr w:type="spellStart"/>
      <w:r w:rsidRPr="00282E8D">
        <w:rPr>
          <w:sz w:val="22"/>
          <w:szCs w:val="22"/>
        </w:rPr>
        <w:t>Koslowski</w:t>
      </w:r>
      <w:proofErr w:type="spellEnd"/>
      <w:r w:rsidRPr="00282E8D">
        <w:rPr>
          <w:sz w:val="22"/>
          <w:szCs w:val="22"/>
        </w:rPr>
        <w:t>, N. Ch., Line</w:t>
      </w:r>
      <w:r>
        <w:rPr>
          <w:sz w:val="22"/>
          <w:szCs w:val="22"/>
        </w:rPr>
        <w:t>han, C. and Tietze, S. (2017). ‘</w:t>
      </w:r>
      <w:r w:rsidRPr="00282E8D">
        <w:rPr>
          <w:sz w:val="22"/>
          <w:szCs w:val="22"/>
        </w:rPr>
        <w:t>When is a bed not a bed? Exploring the interplay of the material and virtual in ne</w:t>
      </w:r>
      <w:r>
        <w:rPr>
          <w:sz w:val="22"/>
          <w:szCs w:val="22"/>
        </w:rPr>
        <w:t>gotiating home-work boundaries.’</w:t>
      </w:r>
      <w:r w:rsidRPr="00282E8D">
        <w:rPr>
          <w:sz w:val="22"/>
          <w:szCs w:val="22"/>
        </w:rPr>
        <w:t xml:space="preserve"> </w:t>
      </w:r>
      <w:r w:rsidRPr="00282E8D">
        <w:rPr>
          <w:i/>
          <w:sz w:val="22"/>
          <w:szCs w:val="22"/>
        </w:rPr>
        <w:t>Culture and Organization</w:t>
      </w:r>
      <w:r w:rsidRPr="00282E8D">
        <w:rPr>
          <w:sz w:val="22"/>
          <w:szCs w:val="22"/>
        </w:rPr>
        <w:t>, Online first (July 2017): 1-19.</w:t>
      </w:r>
    </w:p>
    <w:p w14:paraId="36DA9897" w14:textId="083FBB54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proofErr w:type="spellStart"/>
      <w:r w:rsidRPr="00282E8D">
        <w:rPr>
          <w:sz w:val="22"/>
          <w:szCs w:val="22"/>
        </w:rPr>
        <w:t>Orlikowski</w:t>
      </w:r>
      <w:proofErr w:type="spellEnd"/>
      <w:r>
        <w:rPr>
          <w:sz w:val="22"/>
          <w:szCs w:val="22"/>
        </w:rPr>
        <w:t>,</w:t>
      </w:r>
      <w:r w:rsidRPr="00282E8D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. </w:t>
      </w:r>
      <w:r w:rsidRPr="00282E8D">
        <w:rPr>
          <w:sz w:val="22"/>
          <w:szCs w:val="22"/>
        </w:rPr>
        <w:t>J</w:t>
      </w:r>
      <w:r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and Scott</w:t>
      </w:r>
      <w:r>
        <w:rPr>
          <w:sz w:val="22"/>
          <w:szCs w:val="22"/>
        </w:rPr>
        <w:t>,</w:t>
      </w:r>
      <w:r w:rsidRPr="00282E8D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. </w:t>
      </w:r>
      <w:r w:rsidRPr="00282E8D">
        <w:rPr>
          <w:sz w:val="22"/>
          <w:szCs w:val="22"/>
        </w:rPr>
        <w:t>V</w:t>
      </w:r>
      <w:r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(2008)</w:t>
      </w:r>
      <w:r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</w:t>
      </w:r>
      <w:r>
        <w:rPr>
          <w:sz w:val="22"/>
          <w:szCs w:val="22"/>
        </w:rPr>
        <w:t>‘</w:t>
      </w:r>
      <w:proofErr w:type="spellStart"/>
      <w:r w:rsidRPr="00282E8D">
        <w:rPr>
          <w:sz w:val="22"/>
          <w:szCs w:val="22"/>
        </w:rPr>
        <w:t>Sociomateriality</w:t>
      </w:r>
      <w:proofErr w:type="spellEnd"/>
      <w:r w:rsidRPr="00282E8D">
        <w:rPr>
          <w:sz w:val="22"/>
          <w:szCs w:val="22"/>
        </w:rPr>
        <w:t>: Challenging the separation of technology, work and organization.</w:t>
      </w:r>
      <w:r>
        <w:rPr>
          <w:sz w:val="22"/>
          <w:szCs w:val="22"/>
        </w:rPr>
        <w:t>’</w:t>
      </w:r>
      <w:r w:rsidRPr="00282E8D">
        <w:rPr>
          <w:sz w:val="22"/>
          <w:szCs w:val="22"/>
        </w:rPr>
        <w:t xml:space="preserve"> </w:t>
      </w:r>
      <w:r w:rsidRPr="00282E8D">
        <w:rPr>
          <w:i/>
          <w:sz w:val="22"/>
          <w:szCs w:val="22"/>
        </w:rPr>
        <w:t>The Academy of Management Annals</w:t>
      </w:r>
      <w:r w:rsidRPr="00282E8D">
        <w:rPr>
          <w:sz w:val="22"/>
          <w:szCs w:val="22"/>
        </w:rPr>
        <w:t xml:space="preserve"> 2: 433-474.</w:t>
      </w:r>
    </w:p>
    <w:p w14:paraId="161A32AF" w14:textId="3F8DC2BD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Rothbard</w:t>
      </w:r>
      <w:proofErr w:type="spellEnd"/>
      <w:r>
        <w:rPr>
          <w:sz w:val="22"/>
          <w:szCs w:val="22"/>
        </w:rPr>
        <w:t>, N. P.,</w:t>
      </w:r>
      <w:r w:rsidRPr="00282E8D">
        <w:rPr>
          <w:sz w:val="22"/>
          <w:szCs w:val="22"/>
        </w:rPr>
        <w:t xml:space="preserve"> Phillips, K. W. and Dumas, T. L. (2005). ‘Managing multiple roles: Work-family policies and individuals’ desires for segmentation’, </w:t>
      </w:r>
      <w:r w:rsidRPr="001950BE">
        <w:rPr>
          <w:i/>
          <w:sz w:val="22"/>
          <w:szCs w:val="22"/>
        </w:rPr>
        <w:t>Organization Science</w:t>
      </w:r>
      <w:r w:rsidRPr="00282E8D">
        <w:rPr>
          <w:sz w:val="22"/>
          <w:szCs w:val="22"/>
        </w:rPr>
        <w:t>, 16(3): 243-258.</w:t>
      </w:r>
    </w:p>
    <w:p w14:paraId="06172D88" w14:textId="577ABBAE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r w:rsidRPr="00282E8D">
        <w:rPr>
          <w:sz w:val="22"/>
          <w:szCs w:val="22"/>
        </w:rPr>
        <w:t xml:space="preserve">Sewell, G. and Laurent, T. </w:t>
      </w:r>
      <w:r w:rsidR="001950BE">
        <w:rPr>
          <w:sz w:val="22"/>
          <w:szCs w:val="22"/>
        </w:rPr>
        <w:t>(</w:t>
      </w:r>
      <w:r w:rsidRPr="00282E8D">
        <w:rPr>
          <w:sz w:val="22"/>
          <w:szCs w:val="22"/>
        </w:rPr>
        <w:t>2015</w:t>
      </w:r>
      <w:r w:rsidR="001950BE">
        <w:rPr>
          <w:sz w:val="22"/>
          <w:szCs w:val="22"/>
        </w:rPr>
        <w:t>). ‘</w:t>
      </w:r>
      <w:r w:rsidRPr="00282E8D">
        <w:rPr>
          <w:sz w:val="22"/>
          <w:szCs w:val="22"/>
        </w:rPr>
        <w:t>Out of Sight, Out of Mind in a New World of Work? Autonomy, Control, and Spat</w:t>
      </w:r>
      <w:r w:rsidR="001950BE">
        <w:rPr>
          <w:sz w:val="22"/>
          <w:szCs w:val="22"/>
        </w:rPr>
        <w:t>iotemporal Scaling in Telework.’</w:t>
      </w:r>
      <w:r w:rsidRPr="00282E8D">
        <w:rPr>
          <w:sz w:val="22"/>
          <w:szCs w:val="22"/>
        </w:rPr>
        <w:t xml:space="preserve"> </w:t>
      </w:r>
      <w:proofErr w:type="spellStart"/>
      <w:r w:rsidRPr="001950BE">
        <w:rPr>
          <w:i/>
          <w:sz w:val="22"/>
          <w:szCs w:val="22"/>
        </w:rPr>
        <w:t>Organizaton</w:t>
      </w:r>
      <w:proofErr w:type="spellEnd"/>
      <w:r w:rsidRPr="001950BE">
        <w:rPr>
          <w:i/>
          <w:sz w:val="22"/>
          <w:szCs w:val="22"/>
        </w:rPr>
        <w:t xml:space="preserve"> Studies</w:t>
      </w:r>
      <w:r w:rsidR="001950BE">
        <w:rPr>
          <w:sz w:val="22"/>
          <w:szCs w:val="22"/>
        </w:rPr>
        <w:t>, 36</w:t>
      </w:r>
      <w:r w:rsidRPr="00282E8D">
        <w:rPr>
          <w:sz w:val="22"/>
          <w:szCs w:val="22"/>
        </w:rPr>
        <w:t>(11): 1507-1529.</w:t>
      </w:r>
    </w:p>
    <w:p w14:paraId="423A7899" w14:textId="77777777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r w:rsidRPr="00282E8D">
        <w:rPr>
          <w:sz w:val="22"/>
          <w:szCs w:val="22"/>
        </w:rPr>
        <w:t xml:space="preserve">Tietze, S. and Musson, G. (2003). ‘The times and temporalities of home-based telework’, </w:t>
      </w:r>
      <w:r w:rsidRPr="001950BE">
        <w:rPr>
          <w:i/>
          <w:sz w:val="22"/>
          <w:szCs w:val="22"/>
        </w:rPr>
        <w:t>Personnel Review</w:t>
      </w:r>
      <w:r w:rsidRPr="00282E8D">
        <w:rPr>
          <w:sz w:val="22"/>
          <w:szCs w:val="22"/>
        </w:rPr>
        <w:t>, 32(4): 438-533.</w:t>
      </w:r>
    </w:p>
    <w:p w14:paraId="58315647" w14:textId="59D5808D" w:rsidR="00282E8D" w:rsidRPr="00282E8D" w:rsidRDefault="001950BE" w:rsidP="00282E8D">
      <w:pPr>
        <w:spacing w:before="60" w:after="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Villadsen</w:t>
      </w:r>
      <w:proofErr w:type="spellEnd"/>
      <w:r>
        <w:rPr>
          <w:sz w:val="22"/>
          <w:szCs w:val="22"/>
        </w:rPr>
        <w:t>, K. (2017). ‘</w:t>
      </w:r>
      <w:r w:rsidR="00282E8D" w:rsidRPr="00282E8D">
        <w:rPr>
          <w:sz w:val="22"/>
          <w:szCs w:val="22"/>
        </w:rPr>
        <w:t xml:space="preserve">Constantly online and the fantasy of ‘work–life balance’: Reinterpreting work-connectivity as </w:t>
      </w:r>
      <w:r>
        <w:rPr>
          <w:sz w:val="22"/>
          <w:szCs w:val="22"/>
        </w:rPr>
        <w:t>cynical practice and fetishism.’</w:t>
      </w:r>
      <w:r w:rsidR="00282E8D" w:rsidRPr="00282E8D">
        <w:rPr>
          <w:sz w:val="22"/>
          <w:szCs w:val="22"/>
        </w:rPr>
        <w:t xml:space="preserve"> </w:t>
      </w:r>
      <w:r w:rsidR="00282E8D" w:rsidRPr="001950BE">
        <w:rPr>
          <w:i/>
          <w:sz w:val="22"/>
          <w:szCs w:val="22"/>
        </w:rPr>
        <w:t>Culture and Organization</w:t>
      </w:r>
      <w:r w:rsidR="00282E8D" w:rsidRPr="00282E8D">
        <w:rPr>
          <w:sz w:val="22"/>
          <w:szCs w:val="22"/>
        </w:rPr>
        <w:t>, 23(5): 363-378.</w:t>
      </w:r>
    </w:p>
    <w:p w14:paraId="77C7D3AE" w14:textId="48685753" w:rsidR="00282E8D" w:rsidRPr="00282E8D" w:rsidRDefault="00282E8D" w:rsidP="00282E8D">
      <w:pPr>
        <w:spacing w:before="60" w:after="60"/>
        <w:jc w:val="both"/>
        <w:rPr>
          <w:sz w:val="22"/>
          <w:szCs w:val="22"/>
        </w:rPr>
      </w:pPr>
      <w:r w:rsidRPr="00282E8D">
        <w:rPr>
          <w:sz w:val="22"/>
          <w:szCs w:val="22"/>
        </w:rPr>
        <w:t>Wasserman</w:t>
      </w:r>
      <w:r w:rsidR="001950BE">
        <w:rPr>
          <w:sz w:val="22"/>
          <w:szCs w:val="22"/>
        </w:rPr>
        <w:t>,</w:t>
      </w:r>
      <w:r w:rsidRPr="00282E8D">
        <w:rPr>
          <w:sz w:val="22"/>
          <w:szCs w:val="22"/>
        </w:rPr>
        <w:t xml:space="preserve"> V</w:t>
      </w:r>
      <w:r w:rsidR="001950BE"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and Frenkel</w:t>
      </w:r>
      <w:r w:rsidR="001950BE">
        <w:rPr>
          <w:sz w:val="22"/>
          <w:szCs w:val="22"/>
        </w:rPr>
        <w:t>,</w:t>
      </w:r>
      <w:r w:rsidRPr="00282E8D">
        <w:rPr>
          <w:sz w:val="22"/>
          <w:szCs w:val="22"/>
        </w:rPr>
        <w:t xml:space="preserve"> M</w:t>
      </w:r>
      <w:r w:rsidR="001950BE"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(2011)</w:t>
      </w:r>
      <w:r w:rsidR="001950BE">
        <w:rPr>
          <w:sz w:val="22"/>
          <w:szCs w:val="22"/>
        </w:rPr>
        <w:t>.</w:t>
      </w:r>
      <w:r w:rsidRPr="00282E8D">
        <w:rPr>
          <w:sz w:val="22"/>
          <w:szCs w:val="22"/>
        </w:rPr>
        <w:t xml:space="preserve"> </w:t>
      </w:r>
      <w:r w:rsidR="001950BE">
        <w:rPr>
          <w:sz w:val="22"/>
          <w:szCs w:val="22"/>
        </w:rPr>
        <w:t>‘</w:t>
      </w:r>
      <w:r w:rsidRPr="00282E8D">
        <w:rPr>
          <w:sz w:val="22"/>
          <w:szCs w:val="22"/>
        </w:rPr>
        <w:t>Organizational aesthetics: Caught between identity regulation and culture jamming.</w:t>
      </w:r>
      <w:r w:rsidR="001950BE">
        <w:rPr>
          <w:sz w:val="22"/>
          <w:szCs w:val="22"/>
        </w:rPr>
        <w:t>’</w:t>
      </w:r>
      <w:r w:rsidRPr="00282E8D">
        <w:rPr>
          <w:sz w:val="22"/>
          <w:szCs w:val="22"/>
        </w:rPr>
        <w:t xml:space="preserve"> </w:t>
      </w:r>
      <w:r w:rsidRPr="001950BE">
        <w:rPr>
          <w:i/>
          <w:sz w:val="22"/>
          <w:szCs w:val="22"/>
        </w:rPr>
        <w:t>Organization Science</w:t>
      </w:r>
      <w:r w:rsidR="001950BE">
        <w:rPr>
          <w:sz w:val="22"/>
          <w:szCs w:val="22"/>
        </w:rPr>
        <w:t xml:space="preserve">, </w:t>
      </w:r>
      <w:r w:rsidRPr="00282E8D">
        <w:rPr>
          <w:sz w:val="22"/>
          <w:szCs w:val="22"/>
        </w:rPr>
        <w:t>22: 503-521.</w:t>
      </w:r>
    </w:p>
    <w:p w14:paraId="31221250" w14:textId="77777777" w:rsidR="00120112" w:rsidRPr="001D43CB" w:rsidRDefault="00120112" w:rsidP="00D332E2">
      <w:pPr>
        <w:spacing w:before="60" w:after="60"/>
        <w:jc w:val="both"/>
        <w:rPr>
          <w:sz w:val="22"/>
          <w:szCs w:val="22"/>
        </w:rPr>
      </w:pPr>
    </w:p>
    <w:sectPr w:rsidR="00120112" w:rsidRPr="001D43CB" w:rsidSect="00F828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61C60"/>
    <w:multiLevelType w:val="hybridMultilevel"/>
    <w:tmpl w:val="97AE624C"/>
    <w:lvl w:ilvl="0" w:tplc="68DE69F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3C4CE4"/>
    <w:multiLevelType w:val="hybridMultilevel"/>
    <w:tmpl w:val="350EC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82043"/>
    <w:multiLevelType w:val="hybridMultilevel"/>
    <w:tmpl w:val="55F887C2"/>
    <w:lvl w:ilvl="0" w:tplc="68DE69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48"/>
    <w:rsid w:val="00120112"/>
    <w:rsid w:val="001950BE"/>
    <w:rsid w:val="001D0138"/>
    <w:rsid w:val="001D1706"/>
    <w:rsid w:val="001D43CB"/>
    <w:rsid w:val="001E243E"/>
    <w:rsid w:val="002235E4"/>
    <w:rsid w:val="00247F61"/>
    <w:rsid w:val="0026442D"/>
    <w:rsid w:val="00282E8D"/>
    <w:rsid w:val="00297AE6"/>
    <w:rsid w:val="003548B6"/>
    <w:rsid w:val="00466CB3"/>
    <w:rsid w:val="004D39AE"/>
    <w:rsid w:val="004D474D"/>
    <w:rsid w:val="004D6AB6"/>
    <w:rsid w:val="0054180D"/>
    <w:rsid w:val="0056296C"/>
    <w:rsid w:val="005909BD"/>
    <w:rsid w:val="00591C62"/>
    <w:rsid w:val="00637D48"/>
    <w:rsid w:val="00654EE9"/>
    <w:rsid w:val="00674524"/>
    <w:rsid w:val="006E1C95"/>
    <w:rsid w:val="006E7625"/>
    <w:rsid w:val="007C40BC"/>
    <w:rsid w:val="00841B62"/>
    <w:rsid w:val="008A32D2"/>
    <w:rsid w:val="008B1156"/>
    <w:rsid w:val="00925C48"/>
    <w:rsid w:val="009757DD"/>
    <w:rsid w:val="009F7A99"/>
    <w:rsid w:val="00A243B0"/>
    <w:rsid w:val="00AC480E"/>
    <w:rsid w:val="00B155BA"/>
    <w:rsid w:val="00C31CF2"/>
    <w:rsid w:val="00D332E2"/>
    <w:rsid w:val="00D37466"/>
    <w:rsid w:val="00DD715B"/>
    <w:rsid w:val="00DD7FBF"/>
    <w:rsid w:val="00DE4EB6"/>
    <w:rsid w:val="00DF14D0"/>
    <w:rsid w:val="00E27EC4"/>
    <w:rsid w:val="00E7626E"/>
    <w:rsid w:val="00E92D9F"/>
    <w:rsid w:val="00EA08D8"/>
    <w:rsid w:val="00EE6981"/>
    <w:rsid w:val="00EF45D8"/>
    <w:rsid w:val="00F11504"/>
    <w:rsid w:val="00F52E3D"/>
    <w:rsid w:val="00F8280F"/>
    <w:rsid w:val="00FA0B71"/>
    <w:rsid w:val="00FA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E26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1CF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1D43CB"/>
  </w:style>
  <w:style w:type="character" w:styleId="CommentReference">
    <w:name w:val="annotation reference"/>
    <w:basedOn w:val="DefaultParagraphFont"/>
    <w:uiPriority w:val="99"/>
    <w:semiHidden/>
    <w:unhideWhenUsed/>
    <w:rsid w:val="00D33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2E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Izak</dc:creator>
  <cp:lastModifiedBy>Caroline Clarke</cp:lastModifiedBy>
  <cp:revision>2</cp:revision>
  <cp:lastPrinted>2017-10-27T08:27:00Z</cp:lastPrinted>
  <dcterms:created xsi:type="dcterms:W3CDTF">2018-10-21T21:55:00Z</dcterms:created>
  <dcterms:modified xsi:type="dcterms:W3CDTF">2018-10-21T21:55:00Z</dcterms:modified>
</cp:coreProperties>
</file>